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27"/>
        <w:tblW w:w="0" w:type="auto"/>
        <w:tblLayout w:type="fixed"/>
        <w:tblCellMar>
          <w:top w:w="58" w:type="dxa"/>
          <w:left w:w="72" w:type="dxa"/>
          <w:bottom w:w="58" w:type="dxa"/>
          <w:right w:w="72" w:type="dxa"/>
        </w:tblCellMar>
        <w:tblLook w:val="00A0"/>
      </w:tblPr>
      <w:tblGrid>
        <w:gridCol w:w="9171"/>
      </w:tblGrid>
      <w:tr w:rsidR="00C40510" w:rsidRPr="00C40510" w:rsidTr="00C40510">
        <w:trPr>
          <w:trHeight w:val="318"/>
        </w:trPr>
        <w:tc>
          <w:tcPr>
            <w:tcW w:w="9171" w:type="dxa"/>
            <w:shd w:val="clear" w:color="auto" w:fill="0D0D0D"/>
            <w:vAlign w:val="center"/>
          </w:tcPr>
          <w:p w:rsidR="00C40510" w:rsidRPr="00C40510" w:rsidRDefault="00C40510" w:rsidP="006D7905">
            <w:pPr>
              <w:pStyle w:val="Heading1"/>
              <w:framePr w:hSpace="0" w:wrap="auto" w:vAnchor="margin" w:hAnchor="text" w:yAlign="inline"/>
              <w:spacing w:before="40"/>
              <w:jc w:val="left"/>
              <w:rPr>
                <w:rFonts w:cs="Times New Roman"/>
                <w:szCs w:val="24"/>
                <w:lang w:val="el-GR"/>
              </w:rPr>
            </w:pPr>
            <w:r w:rsidRPr="00C40510">
              <w:rPr>
                <w:rFonts w:cs="Times New Roman"/>
                <w:szCs w:val="24"/>
                <w:lang w:val="el-GR"/>
              </w:rPr>
              <w:t>ΠΛΗΡΟΦΟΡΙΕΣ ΓΙΑ ΤΟΥΣ ΝΕΥΡΟΕΝΔΟΚΡΙΝΕΙΣ ΟΓΚΟΥΣ</w:t>
            </w:r>
          </w:p>
        </w:tc>
      </w:tr>
    </w:tbl>
    <w:p w:rsidR="007C7592" w:rsidRPr="006D7905" w:rsidRDefault="007C7592">
      <w:pPr>
        <w:rPr>
          <w:rFonts w:cs="Times New Roman"/>
          <w:szCs w:val="24"/>
          <w:lang w:val="el-GR"/>
        </w:rPr>
      </w:pPr>
      <w:r w:rsidRPr="006D7905">
        <w:rPr>
          <w:rFonts w:cs="Times New Roman"/>
          <w:szCs w:val="24"/>
          <w:lang w:val="el-GR"/>
        </w:rPr>
        <w:t xml:space="preserve">Οι νευροενδοκρινείς όγκοι </w:t>
      </w:r>
      <w:r w:rsidR="006D7905" w:rsidRPr="006D7905">
        <w:rPr>
          <w:rFonts w:cs="Times New Roman"/>
          <w:szCs w:val="24"/>
          <w:lang w:val="el-GR"/>
        </w:rPr>
        <w:t>(</w:t>
      </w:r>
      <w:r w:rsidR="006D7905">
        <w:rPr>
          <w:rFonts w:cs="Times New Roman"/>
          <w:szCs w:val="24"/>
          <w:lang w:val="el-GR"/>
        </w:rPr>
        <w:t xml:space="preserve">ΝΕΤ) </w:t>
      </w:r>
      <w:r w:rsidRPr="006D7905">
        <w:rPr>
          <w:rFonts w:cs="Times New Roman"/>
          <w:szCs w:val="24"/>
          <w:lang w:val="el-GR"/>
        </w:rPr>
        <w:t>προκύπτουν από κύτταρα που μπορούν να παράγουν και να εκκρίνουν διάφορες ορμόνες που ρυθμίζουν τις σωματικές λειτουργίες</w:t>
      </w:r>
      <w:r w:rsidRPr="006D7905">
        <w:rPr>
          <w:rFonts w:cs="Times New Roman"/>
          <w:szCs w:val="24"/>
          <w:vertAlign w:val="superscript"/>
          <w:lang w:val="el-GR"/>
        </w:rPr>
        <w:t>1</w:t>
      </w:r>
      <w:r w:rsidRPr="006D7905">
        <w:rPr>
          <w:rFonts w:cs="Times New Roman"/>
          <w:szCs w:val="24"/>
          <w:lang w:val="el-GR"/>
        </w:rPr>
        <w:t>. Υπάρχουν πολλοί τύποι νευροενδοκρινών όγκων που μπορεί να εμφανιστούν σε διάφορα μέρη του σώματος. Ωστόσο, οι περισσότεροι εντοπίζονται στη γαστρεντερική οδό, το πάγκρεας και τους πνεύμονες</w:t>
      </w:r>
      <w:r w:rsidRPr="006D7905">
        <w:rPr>
          <w:rFonts w:cs="Times New Roman"/>
          <w:szCs w:val="24"/>
          <w:vertAlign w:val="superscript"/>
          <w:lang w:val="el-GR"/>
        </w:rPr>
        <w:t>2</w:t>
      </w:r>
      <w:r w:rsidRPr="006D7905">
        <w:rPr>
          <w:rFonts w:cs="Times New Roman"/>
          <w:szCs w:val="24"/>
          <w:lang w:val="el-GR"/>
        </w:rPr>
        <w:t xml:space="preserve">. Για παράδειγμα, οι προχωρημένοι </w:t>
      </w:r>
      <w:r w:rsidR="006D7905" w:rsidRPr="006D7905">
        <w:rPr>
          <w:rFonts w:cs="Times New Roman"/>
          <w:szCs w:val="24"/>
          <w:lang w:val="el-GR"/>
        </w:rPr>
        <w:t xml:space="preserve">καρκινοειδείς </w:t>
      </w:r>
      <w:r w:rsidRPr="006D7905">
        <w:rPr>
          <w:rFonts w:cs="Times New Roman"/>
          <w:szCs w:val="24"/>
          <w:lang w:val="el-GR"/>
        </w:rPr>
        <w:t>όγκοι είναι ένας τύπος NET που συχνά ξεκινά από τη γαστρεντερική οδό ή τους πνεύμονες</w:t>
      </w:r>
      <w:r w:rsidRPr="006D7905">
        <w:rPr>
          <w:rFonts w:cs="Times New Roman"/>
          <w:szCs w:val="24"/>
          <w:vertAlign w:val="superscript"/>
          <w:lang w:val="el-GR"/>
        </w:rPr>
        <w:t>3</w:t>
      </w:r>
      <w:r w:rsidRPr="006D7905">
        <w:rPr>
          <w:rFonts w:cs="Times New Roman"/>
          <w:szCs w:val="24"/>
          <w:lang w:val="el-GR"/>
        </w:rPr>
        <w:t>. Ένας άλλος, σχετικά σπάνιος τύπος NET, είναι οι παγκρεατικοί NET που καλούνται συχνά όγκοι κυττάρων των νησιδίων και οι επιλογές θεραπείας τους είναι περιορισμένες όταν διαγιγνώσκονται σε προχωρημένο στάδιο</w:t>
      </w:r>
      <w:r w:rsidRPr="006D7905">
        <w:rPr>
          <w:rFonts w:cs="Times New Roman"/>
          <w:szCs w:val="24"/>
          <w:vertAlign w:val="superscript"/>
          <w:lang w:val="el-GR"/>
        </w:rPr>
        <w:t>4,5</w:t>
      </w:r>
      <w:r w:rsidRPr="006D7905">
        <w:rPr>
          <w:rFonts w:cs="Times New Roman"/>
          <w:szCs w:val="24"/>
          <w:lang w:val="el-GR"/>
        </w:rPr>
        <w:t>.</w:t>
      </w:r>
    </w:p>
    <w:p w:rsidR="007C7592" w:rsidRPr="006D7905" w:rsidRDefault="007C7592">
      <w:pPr>
        <w:rPr>
          <w:rFonts w:cs="Times New Roman"/>
          <w:szCs w:val="24"/>
          <w:lang w:val="el-GR"/>
        </w:rPr>
      </w:pPr>
      <w:r w:rsidRPr="006D7905">
        <w:rPr>
          <w:rFonts w:cs="Times New Roman"/>
          <w:szCs w:val="24"/>
          <w:lang w:val="el-GR"/>
        </w:rPr>
        <w:t>Οι νευροεκδοκρινείς όγκοι χωρίζονται σε δύο κατηγορίες: συμπτωματικοί ή ασυμπτωματικοί (γνωστοί και ως λειτουργικοί ή μη λειτουργικοί)</w:t>
      </w:r>
      <w:r w:rsidRPr="006D7905">
        <w:rPr>
          <w:rFonts w:cs="Times New Roman"/>
          <w:szCs w:val="24"/>
          <w:vertAlign w:val="superscript"/>
          <w:lang w:val="el-GR"/>
        </w:rPr>
        <w:t>6,7</w:t>
      </w:r>
      <w:r w:rsidRPr="006D7905">
        <w:rPr>
          <w:rFonts w:cs="Times New Roman"/>
          <w:szCs w:val="24"/>
          <w:lang w:val="el-GR"/>
        </w:rPr>
        <w:t>. Οι ασθενείς με συμπτωματικούς NET μπορεί να εμφανίσουν κλινικά συμπτώματα λόγω της υπερβολικής έκκρισης ορμονών από τα κύτταρα του όγκου</w:t>
      </w:r>
      <w:r w:rsidRPr="006D7905">
        <w:rPr>
          <w:rFonts w:cs="Times New Roman"/>
          <w:szCs w:val="24"/>
          <w:vertAlign w:val="superscript"/>
          <w:lang w:val="el-GR"/>
        </w:rPr>
        <w:t>7</w:t>
      </w:r>
      <w:r w:rsidRPr="006D7905">
        <w:rPr>
          <w:rFonts w:cs="Times New Roman"/>
          <w:szCs w:val="24"/>
          <w:lang w:val="el-GR"/>
        </w:rPr>
        <w:t>. Για παράδειγμα, ορισμένα κύτταρα νευροεκδοκρινών όγκων μπορεί να εκκρίνουν σεροτονίνη, μια ορμόνη που ρυθμίζει τη διάθεση, τον ύπνο και την όρεξη</w:t>
      </w:r>
      <w:r w:rsidRPr="006D7905">
        <w:rPr>
          <w:rFonts w:cs="Times New Roman"/>
          <w:szCs w:val="24"/>
          <w:vertAlign w:val="superscript"/>
          <w:lang w:val="el-GR"/>
        </w:rPr>
        <w:t>9,10</w:t>
      </w:r>
      <w:r w:rsidRPr="006D7905">
        <w:rPr>
          <w:rFonts w:cs="Times New Roman"/>
          <w:szCs w:val="24"/>
          <w:lang w:val="el-GR"/>
        </w:rPr>
        <w:t>.</w:t>
      </w:r>
    </w:p>
    <w:p w:rsidR="007C7592" w:rsidRPr="006D7905" w:rsidRDefault="007C7592">
      <w:pPr>
        <w:pStyle w:val="Heading2"/>
        <w:rPr>
          <w:rFonts w:cs="Times New Roman"/>
          <w:color w:val="auto"/>
          <w:szCs w:val="24"/>
          <w:lang w:val="el-GR"/>
        </w:rPr>
      </w:pPr>
      <w:r w:rsidRPr="006D7905">
        <w:rPr>
          <w:rFonts w:cs="Times New Roman"/>
          <w:color w:val="auto"/>
          <w:szCs w:val="24"/>
          <w:lang w:val="el-GR"/>
        </w:rPr>
        <w:t>Επιπολασμός, παράγοντες κινδύνου και πρόγνωση</w:t>
      </w:r>
    </w:p>
    <w:p w:rsidR="007C7592" w:rsidRPr="006D7905" w:rsidRDefault="007C7592">
      <w:pPr>
        <w:spacing w:before="0"/>
        <w:rPr>
          <w:rFonts w:cs="Times New Roman"/>
          <w:szCs w:val="24"/>
          <w:lang w:val="el-GR"/>
        </w:rPr>
      </w:pPr>
      <w:r w:rsidRPr="006D7905">
        <w:rPr>
          <w:rFonts w:cs="Times New Roman"/>
          <w:szCs w:val="24"/>
          <w:lang w:val="el-GR"/>
        </w:rPr>
        <w:t>Πρόσφατα δεδομένα δείχνουν ότι</w:t>
      </w:r>
      <w:r w:rsidR="006D7905">
        <w:rPr>
          <w:rFonts w:cs="Times New Roman"/>
          <w:szCs w:val="24"/>
          <w:lang w:val="el-GR"/>
        </w:rPr>
        <w:t>,</w:t>
      </w:r>
      <w:r w:rsidRPr="006D7905">
        <w:rPr>
          <w:rFonts w:cs="Times New Roman"/>
          <w:szCs w:val="24"/>
          <w:lang w:val="el-GR"/>
        </w:rPr>
        <w:t xml:space="preserve"> το 2004</w:t>
      </w:r>
      <w:r w:rsidR="006D7905">
        <w:rPr>
          <w:rFonts w:cs="Times New Roman"/>
          <w:szCs w:val="24"/>
          <w:lang w:val="el-GR"/>
        </w:rPr>
        <w:t>,</w:t>
      </w:r>
      <w:r w:rsidRPr="006D7905">
        <w:rPr>
          <w:rFonts w:cs="Times New Roman"/>
          <w:szCs w:val="24"/>
          <w:lang w:val="el-GR"/>
        </w:rPr>
        <w:t xml:space="preserve"> διαγνώσθηκαν περίπου 5 περιπτώσεις</w:t>
      </w:r>
      <w:r w:rsidR="006D7905">
        <w:rPr>
          <w:rFonts w:cs="Times New Roman"/>
          <w:szCs w:val="24"/>
          <w:lang w:val="el-GR"/>
        </w:rPr>
        <w:t xml:space="preserve"> ΝΕΤ ανά</w:t>
      </w:r>
      <w:r w:rsidRPr="006D7905">
        <w:rPr>
          <w:rFonts w:cs="Times New Roman"/>
          <w:szCs w:val="24"/>
          <w:lang w:val="el-GR"/>
        </w:rPr>
        <w:t xml:space="preserve"> 100.000</w:t>
      </w:r>
      <w:r w:rsidR="006D7905" w:rsidRPr="006D7905">
        <w:rPr>
          <w:rFonts w:cs="Times New Roman"/>
          <w:szCs w:val="24"/>
          <w:lang w:val="el-GR"/>
        </w:rPr>
        <w:t xml:space="preserve"> </w:t>
      </w:r>
      <w:r w:rsidR="006D7905">
        <w:rPr>
          <w:rFonts w:cs="Times New Roman"/>
          <w:szCs w:val="24"/>
          <w:lang w:val="el-GR"/>
        </w:rPr>
        <w:t>πληθυσμό</w:t>
      </w:r>
      <w:r w:rsidR="006D7905" w:rsidRPr="006D7905">
        <w:rPr>
          <w:rFonts w:cs="Times New Roman"/>
          <w:szCs w:val="24"/>
          <w:vertAlign w:val="superscript"/>
          <w:lang w:val="el-GR"/>
        </w:rPr>
        <w:t>2</w:t>
      </w:r>
      <w:r w:rsidRPr="006D7905">
        <w:rPr>
          <w:rFonts w:cs="Times New Roman"/>
          <w:szCs w:val="24"/>
          <w:lang w:val="el-GR"/>
        </w:rPr>
        <w:t xml:space="preserve">. Ωστόσο, η </w:t>
      </w:r>
      <w:r w:rsidR="006D7905">
        <w:rPr>
          <w:rFonts w:cs="Times New Roman"/>
          <w:szCs w:val="24"/>
          <w:lang w:val="el-GR"/>
        </w:rPr>
        <w:t>επίπτωση</w:t>
      </w:r>
      <w:r w:rsidRPr="006D7905">
        <w:rPr>
          <w:rFonts w:cs="Times New Roman"/>
          <w:szCs w:val="24"/>
          <w:lang w:val="el-GR"/>
        </w:rPr>
        <w:t xml:space="preserve"> των NET αυξάνεται δραματικά καθώς έχει υπερτετραπλασιαστεί τα τελευταία 30 χρόνια</w:t>
      </w:r>
      <w:r w:rsidRPr="006D7905">
        <w:rPr>
          <w:rFonts w:cs="Times New Roman"/>
          <w:szCs w:val="24"/>
          <w:vertAlign w:val="superscript"/>
          <w:lang w:val="el-GR"/>
        </w:rPr>
        <w:t>2</w:t>
      </w:r>
      <w:r w:rsidRPr="006D7905">
        <w:rPr>
          <w:rFonts w:cs="Times New Roman"/>
          <w:szCs w:val="24"/>
          <w:lang w:val="el-GR"/>
        </w:rPr>
        <w:t>. Τα άτομα με οικογενειακό ιστορικό καρκίνου, οι γυναίκες και οι διαβητικοί διατρέχουν αυξημένο κίνδυνο εμφάνισης NET</w:t>
      </w:r>
      <w:r w:rsidRPr="006D7905">
        <w:rPr>
          <w:rFonts w:cs="Times New Roman"/>
          <w:szCs w:val="24"/>
          <w:vertAlign w:val="superscript"/>
          <w:lang w:val="el-GR"/>
        </w:rPr>
        <w:t>11</w:t>
      </w:r>
      <w:r w:rsidRPr="006D7905">
        <w:rPr>
          <w:rFonts w:cs="Times New Roman"/>
          <w:szCs w:val="24"/>
          <w:lang w:val="el-GR"/>
        </w:rPr>
        <w:t>.</w:t>
      </w:r>
    </w:p>
    <w:p w:rsidR="007C7592" w:rsidRPr="006D7905" w:rsidRDefault="00DE33FB">
      <w:pPr>
        <w:rPr>
          <w:rFonts w:cs="Times New Roman"/>
          <w:szCs w:val="24"/>
          <w:lang w:val="el-GR"/>
        </w:rPr>
      </w:pPr>
      <w:r w:rsidRPr="00DE33FB">
        <w:rPr>
          <w:noProof/>
          <w:snapToGrid/>
          <w:lang w:val="el-GR"/>
        </w:rPr>
        <w:pict>
          <v:shapetype id="_x0000_t202" coordsize="21600,21600" o:spt="202" path="m,l,21600r21600,l21600,xe">
            <v:stroke joinstyle="miter"/>
            <v:path gradientshapeok="t" o:connecttype="rect"/>
          </v:shapetype>
          <v:shape id="_x0000_s1028" type="#_x0000_t202" style="position:absolute;left:0;text-align:left;margin-left:.4pt;margin-top:7.55pt;width:123.9pt;height:170.9pt;z-index:1" fillcolor="#bfbfbf" stroked="f" strokecolor="#a7316e">
            <v:textbox style="mso-next-textbox:#_x0000_s1028">
              <w:txbxContent>
                <w:p w:rsidR="007C7592" w:rsidRDefault="007C7592" w:rsidP="009662F3">
                  <w:pPr>
                    <w:spacing w:before="0"/>
                    <w:jc w:val="left"/>
                    <w:rPr>
                      <w:rFonts w:cs="Times New Roman"/>
                      <w:sz w:val="20"/>
                      <w:szCs w:val="24"/>
                      <w:lang w:val="el-GR"/>
                    </w:rPr>
                  </w:pPr>
                  <w:r w:rsidRPr="006D7905">
                    <w:rPr>
                      <w:rFonts w:cs="Times New Roman"/>
                      <w:sz w:val="20"/>
                      <w:szCs w:val="24"/>
                      <w:lang w:val="el-GR"/>
                    </w:rPr>
                    <w:t>Τα συμπτώματα περιλαμβάνουν, ενδεικτικά, τα εξής</w:t>
                  </w:r>
                </w:p>
                <w:p w:rsidR="00C31DF9" w:rsidRPr="00C31DF9" w:rsidRDefault="00C31DF9" w:rsidP="009662F3">
                  <w:pPr>
                    <w:spacing w:before="0"/>
                    <w:jc w:val="left"/>
                    <w:rPr>
                      <w:rFonts w:cs="Times New Roman"/>
                      <w:sz w:val="16"/>
                      <w:szCs w:val="16"/>
                      <w:lang w:val="el-GR"/>
                    </w:rPr>
                  </w:pPr>
                </w:p>
                <w:p w:rsidR="007C7592" w:rsidRPr="006D7905" w:rsidRDefault="007C7592" w:rsidP="00BA3C54">
                  <w:pPr>
                    <w:numPr>
                      <w:ilvl w:val="0"/>
                      <w:numId w:val="13"/>
                    </w:numPr>
                    <w:spacing w:before="20"/>
                    <w:jc w:val="left"/>
                    <w:rPr>
                      <w:rFonts w:cs="Times New Roman"/>
                      <w:sz w:val="20"/>
                      <w:szCs w:val="24"/>
                    </w:rPr>
                  </w:pPr>
                  <w:r w:rsidRPr="006D7905">
                    <w:rPr>
                      <w:rFonts w:cs="Times New Roman"/>
                      <w:sz w:val="20"/>
                      <w:szCs w:val="24"/>
                      <w:lang w:val="el-GR"/>
                    </w:rPr>
                    <w:t>Εξάψεις</w:t>
                  </w:r>
                </w:p>
                <w:p w:rsidR="00C31DF9" w:rsidRPr="00C31DF9" w:rsidRDefault="007C7592" w:rsidP="009662F3">
                  <w:pPr>
                    <w:numPr>
                      <w:ilvl w:val="0"/>
                      <w:numId w:val="13"/>
                    </w:numPr>
                    <w:spacing w:before="20"/>
                    <w:jc w:val="left"/>
                    <w:rPr>
                      <w:rFonts w:cs="Times New Roman"/>
                      <w:sz w:val="20"/>
                      <w:szCs w:val="24"/>
                    </w:rPr>
                  </w:pPr>
                  <w:r w:rsidRPr="006D7905">
                    <w:rPr>
                      <w:rFonts w:cs="Times New Roman"/>
                      <w:sz w:val="20"/>
                      <w:szCs w:val="24"/>
                      <w:lang w:val="el-GR"/>
                    </w:rPr>
                    <w:t>Διάρροια</w:t>
                  </w:r>
                  <w:r w:rsidR="00C31DF9">
                    <w:rPr>
                      <w:rFonts w:cs="Times New Roman"/>
                      <w:sz w:val="20"/>
                      <w:szCs w:val="24"/>
                      <w:lang w:val="el-GR"/>
                    </w:rPr>
                    <w:t xml:space="preserve"> </w:t>
                  </w:r>
                </w:p>
                <w:p w:rsidR="007C7592" w:rsidRPr="006D7905" w:rsidRDefault="007C7592" w:rsidP="009662F3">
                  <w:pPr>
                    <w:numPr>
                      <w:ilvl w:val="0"/>
                      <w:numId w:val="13"/>
                    </w:numPr>
                    <w:spacing w:before="20"/>
                    <w:jc w:val="left"/>
                    <w:rPr>
                      <w:rFonts w:cs="Times New Roman"/>
                      <w:sz w:val="20"/>
                      <w:szCs w:val="24"/>
                    </w:rPr>
                  </w:pPr>
                  <w:r w:rsidRPr="006D7905">
                    <w:rPr>
                      <w:rFonts w:cs="Times New Roman"/>
                      <w:sz w:val="20"/>
                      <w:szCs w:val="24"/>
                      <w:lang w:val="el-GR"/>
                    </w:rPr>
                    <w:t>Περιοδικό κοιλιακό άλγος</w:t>
                  </w:r>
                </w:p>
                <w:p w:rsidR="009662F3" w:rsidRPr="006D7905" w:rsidRDefault="007C7592" w:rsidP="009662F3">
                  <w:pPr>
                    <w:numPr>
                      <w:ilvl w:val="0"/>
                      <w:numId w:val="13"/>
                    </w:numPr>
                    <w:spacing w:before="20"/>
                    <w:jc w:val="left"/>
                    <w:rPr>
                      <w:rFonts w:cs="Times New Roman"/>
                      <w:sz w:val="20"/>
                      <w:szCs w:val="24"/>
                    </w:rPr>
                  </w:pPr>
                  <w:r w:rsidRPr="006D7905">
                    <w:rPr>
                      <w:rFonts w:cs="Times New Roman"/>
                      <w:sz w:val="20"/>
                      <w:szCs w:val="24"/>
                      <w:lang w:val="el-GR"/>
                    </w:rPr>
                    <w:t>Συριγμός</w:t>
                  </w:r>
                </w:p>
                <w:p w:rsidR="007C7592" w:rsidRPr="006D7905" w:rsidRDefault="007C7592" w:rsidP="009662F3">
                  <w:pPr>
                    <w:numPr>
                      <w:ilvl w:val="0"/>
                      <w:numId w:val="13"/>
                    </w:numPr>
                    <w:spacing w:before="20"/>
                    <w:jc w:val="left"/>
                    <w:rPr>
                      <w:rFonts w:cs="Times New Roman"/>
                      <w:sz w:val="20"/>
                      <w:szCs w:val="24"/>
                    </w:rPr>
                  </w:pPr>
                  <w:r w:rsidRPr="006D7905">
                    <w:rPr>
                      <w:rFonts w:cs="Times New Roman"/>
                      <w:sz w:val="20"/>
                      <w:szCs w:val="24"/>
                      <w:lang w:val="el-GR"/>
                    </w:rPr>
                    <w:t>Βήχας</w:t>
                  </w:r>
                </w:p>
                <w:p w:rsidR="009662F3" w:rsidRPr="006D7905" w:rsidRDefault="007C7592">
                  <w:pPr>
                    <w:numPr>
                      <w:ilvl w:val="0"/>
                      <w:numId w:val="13"/>
                    </w:numPr>
                    <w:spacing w:before="20"/>
                    <w:jc w:val="left"/>
                    <w:rPr>
                      <w:rFonts w:cs="Times New Roman"/>
                      <w:sz w:val="20"/>
                      <w:szCs w:val="24"/>
                    </w:rPr>
                  </w:pPr>
                  <w:r w:rsidRPr="006D7905">
                    <w:rPr>
                      <w:rFonts w:cs="Times New Roman"/>
                      <w:sz w:val="20"/>
                      <w:szCs w:val="24"/>
                      <w:lang w:val="el-GR"/>
                    </w:rPr>
                    <w:t>Αιματηρά πτύελα</w:t>
                  </w:r>
                </w:p>
                <w:p w:rsidR="007C7592" w:rsidRPr="006D7905" w:rsidRDefault="007C7592" w:rsidP="009662F3">
                  <w:pPr>
                    <w:numPr>
                      <w:ilvl w:val="0"/>
                      <w:numId w:val="13"/>
                    </w:numPr>
                    <w:spacing w:before="20"/>
                    <w:jc w:val="left"/>
                    <w:rPr>
                      <w:rFonts w:cs="Times New Roman"/>
                      <w:sz w:val="20"/>
                      <w:szCs w:val="24"/>
                    </w:rPr>
                  </w:pPr>
                  <w:r w:rsidRPr="006D7905">
                    <w:rPr>
                      <w:rFonts w:cs="Times New Roman"/>
                      <w:sz w:val="20"/>
                      <w:szCs w:val="24"/>
                      <w:lang w:val="el-GR"/>
                    </w:rPr>
                    <w:t>Γαστρεντερική αιμορραγία</w:t>
                  </w:r>
                </w:p>
              </w:txbxContent>
            </v:textbox>
            <w10:wrap type="square"/>
          </v:shape>
        </w:pict>
      </w:r>
      <w:r w:rsidR="00C31DF9">
        <w:rPr>
          <w:noProof/>
          <w:snapToGrid/>
          <w:lang w:val="el-GR"/>
        </w:rPr>
        <w:t>Η</w:t>
      </w:r>
      <w:r w:rsidR="007C7592" w:rsidRPr="006D7905">
        <w:rPr>
          <w:rFonts w:cs="Times New Roman"/>
          <w:szCs w:val="24"/>
          <w:lang w:val="el-GR"/>
        </w:rPr>
        <w:t xml:space="preserve"> επιβίωση ενός ασθενούς με NET ποικίλλει ανάλογα με το στάδιο της νόσου. Για ασθενείς που διαγιγνώσκονται με τοπικό ή προχωρημένο σε συγκεκριμένη περιοχή NET, ο μέσος χρόνος επιβίωσης είναι 18,5 και 9 χρόνια αντίστοιχα, ωστόσο, εάν ο καρκίνος είναι προχωρημένος, δηλαδή έχει επεκταθεί σε άλλα μέρη του σώματος (μετάσταση) ο μέσος χρόνος επιβίωσης κυμαίνεται από 33 μήνες για έναν καλώς ή μετρίως διαφοροποιημένο όγκο έως 9 μήνες για έναν </w:t>
      </w:r>
      <w:r w:rsidR="00C31DF9">
        <w:rPr>
          <w:rFonts w:cs="Times New Roman"/>
          <w:szCs w:val="24"/>
          <w:lang w:val="el-GR"/>
        </w:rPr>
        <w:t>πτωχά</w:t>
      </w:r>
      <w:r w:rsidR="007C7592" w:rsidRPr="006D7905">
        <w:rPr>
          <w:rFonts w:cs="Times New Roman"/>
          <w:szCs w:val="24"/>
          <w:lang w:val="el-GR"/>
        </w:rPr>
        <w:t xml:space="preserve"> διαφοροποιημένο όγκο</w:t>
      </w:r>
      <w:r w:rsidR="007C7592" w:rsidRPr="006D7905">
        <w:rPr>
          <w:rFonts w:cs="Times New Roman"/>
          <w:szCs w:val="24"/>
          <w:vertAlign w:val="superscript"/>
          <w:lang w:val="el-GR"/>
        </w:rPr>
        <w:t>2</w:t>
      </w:r>
      <w:r w:rsidR="007C7592" w:rsidRPr="006D7905">
        <w:rPr>
          <w:rFonts w:cs="Times New Roman"/>
          <w:szCs w:val="24"/>
          <w:lang w:val="el-GR"/>
        </w:rPr>
        <w:t>.</w:t>
      </w:r>
    </w:p>
    <w:p w:rsidR="007C7592" w:rsidRPr="006D7905" w:rsidRDefault="007C7592">
      <w:pPr>
        <w:rPr>
          <w:rFonts w:cs="Times New Roman"/>
          <w:szCs w:val="24"/>
          <w:lang w:val="el-GR"/>
        </w:rPr>
      </w:pPr>
      <w:r w:rsidRPr="006D7905">
        <w:rPr>
          <w:rFonts w:cs="Times New Roman"/>
          <w:szCs w:val="24"/>
          <w:lang w:val="el-GR"/>
        </w:rPr>
        <w:t>Δυστυχώς, οι NET συχνά διαγιγνώσκονται σε προχωρημένο στάδιο</w:t>
      </w:r>
      <w:r w:rsidRPr="006D7905">
        <w:rPr>
          <w:rFonts w:cs="Times New Roman"/>
          <w:szCs w:val="24"/>
          <w:vertAlign w:val="superscript"/>
          <w:lang w:val="el-GR"/>
        </w:rPr>
        <w:t>7</w:t>
      </w:r>
      <w:r w:rsidRPr="006D7905">
        <w:rPr>
          <w:rFonts w:cs="Times New Roman"/>
          <w:szCs w:val="24"/>
          <w:lang w:val="el-GR"/>
        </w:rPr>
        <w:t>. Για παράδειγμα, σε περίπου 60% των ασθενών με παγκρεατικό NET η νόσος έχει φτάσει σε προχωρημένο στάδιο κατά το χρόνο διάγνωσης</w:t>
      </w:r>
      <w:r w:rsidRPr="006D7905">
        <w:rPr>
          <w:rFonts w:cs="Times New Roman"/>
          <w:szCs w:val="24"/>
          <w:vertAlign w:val="superscript"/>
          <w:lang w:val="el-GR"/>
        </w:rPr>
        <w:t>5</w:t>
      </w:r>
      <w:r w:rsidRPr="006D7905">
        <w:rPr>
          <w:rFonts w:cs="Times New Roman"/>
          <w:szCs w:val="24"/>
          <w:lang w:val="el-GR"/>
        </w:rPr>
        <w:t>.</w:t>
      </w:r>
    </w:p>
    <w:p w:rsidR="007C7592" w:rsidRPr="006D7905" w:rsidRDefault="007C7592">
      <w:pPr>
        <w:pStyle w:val="Heading2"/>
        <w:rPr>
          <w:rFonts w:cs="Times New Roman"/>
          <w:color w:val="auto"/>
          <w:szCs w:val="24"/>
          <w:lang w:val="el-GR"/>
        </w:rPr>
      </w:pPr>
      <w:r w:rsidRPr="006D7905">
        <w:rPr>
          <w:rFonts w:cs="Times New Roman"/>
          <w:color w:val="auto"/>
          <w:szCs w:val="24"/>
          <w:lang w:val="el-GR"/>
        </w:rPr>
        <w:t>Διάγνωση και θεραπεία</w:t>
      </w:r>
    </w:p>
    <w:p w:rsidR="007C7592" w:rsidRPr="006D7905" w:rsidRDefault="007C7592">
      <w:pPr>
        <w:spacing w:before="0"/>
        <w:rPr>
          <w:rFonts w:cs="Times New Roman"/>
          <w:szCs w:val="24"/>
          <w:lang w:val="el-GR"/>
        </w:rPr>
      </w:pPr>
      <w:r w:rsidRPr="006D7905">
        <w:rPr>
          <w:rFonts w:cs="Times New Roman"/>
          <w:szCs w:val="24"/>
          <w:lang w:val="el-GR"/>
        </w:rPr>
        <w:t>Οι NET σε ορισμένους ασθενείς μπορεί μη διαγνωσθούν για χρόνια εάν δεν συνοδεύονται από προφανή ή συγκεκριμένα σημεία ή συμπτώματα</w:t>
      </w:r>
      <w:r w:rsidRPr="006D7905">
        <w:rPr>
          <w:rFonts w:cs="Times New Roman"/>
          <w:szCs w:val="24"/>
          <w:vertAlign w:val="superscript"/>
          <w:lang w:val="el-GR"/>
        </w:rPr>
        <w:t>7</w:t>
      </w:r>
      <w:r w:rsidRPr="006D7905">
        <w:rPr>
          <w:rFonts w:cs="Times New Roman"/>
          <w:szCs w:val="24"/>
          <w:lang w:val="el-GR"/>
        </w:rPr>
        <w:t>. Ο εκτιμώμενος χρόνος έως τη διάγνωση για τους NET είναι πέντε έω</w:t>
      </w:r>
      <w:r w:rsidR="00C31DF9">
        <w:rPr>
          <w:rFonts w:cs="Times New Roman"/>
          <w:szCs w:val="24"/>
          <w:lang w:val="el-GR"/>
        </w:rPr>
        <w:t xml:space="preserve">ς επτά χρόνια και ακόμη και οι </w:t>
      </w:r>
      <w:r w:rsidRPr="006D7905">
        <w:rPr>
          <w:rFonts w:cs="Times New Roman"/>
          <w:szCs w:val="24"/>
          <w:lang w:val="el-GR"/>
        </w:rPr>
        <w:t>συμπτωματικοί ασθενείς μπορεί να τύχουν εσφαλμένης διάγνωσης καθώς τα συμπτώματα μπορεί να είναι παρόμοια με αυτά άλλων νόσων και παθήσεων (π.χ. σύνδρομο ευερέθιστου εντέρου)</w:t>
      </w:r>
      <w:r w:rsidRPr="006D7905">
        <w:rPr>
          <w:rFonts w:cs="Times New Roman"/>
          <w:szCs w:val="24"/>
          <w:vertAlign w:val="superscript"/>
          <w:lang w:val="el-GR"/>
        </w:rPr>
        <w:t>7,12</w:t>
      </w:r>
      <w:r w:rsidRPr="006D7905">
        <w:rPr>
          <w:rFonts w:cs="Times New Roman"/>
          <w:szCs w:val="24"/>
          <w:lang w:val="el-GR"/>
        </w:rPr>
        <w:t xml:space="preserve">. </w:t>
      </w:r>
    </w:p>
    <w:p w:rsidR="007C7592" w:rsidRPr="006D7905" w:rsidRDefault="007C7592">
      <w:pPr>
        <w:rPr>
          <w:rFonts w:cs="Times New Roman"/>
          <w:szCs w:val="24"/>
          <w:lang w:val="el-GR"/>
        </w:rPr>
      </w:pPr>
      <w:r w:rsidRPr="006D7905">
        <w:rPr>
          <w:rFonts w:cs="Times New Roman"/>
          <w:szCs w:val="24"/>
          <w:lang w:val="el-GR"/>
        </w:rPr>
        <w:t xml:space="preserve">Δεν υπάρχει έλεγχος ρουτίνας για </w:t>
      </w:r>
      <w:r w:rsidR="00B332D7" w:rsidRPr="006D7905">
        <w:rPr>
          <w:rFonts w:cs="Times New Roman"/>
          <w:szCs w:val="24"/>
          <w:lang w:val="el-GR"/>
        </w:rPr>
        <w:t xml:space="preserve">τους </w:t>
      </w:r>
      <w:r w:rsidRPr="006D7905">
        <w:rPr>
          <w:rFonts w:cs="Times New Roman"/>
          <w:szCs w:val="24"/>
          <w:lang w:val="el-GR"/>
        </w:rPr>
        <w:t xml:space="preserve">NET, ωστόσο κοινά εργαλεία που χρησιμοποιούνται για τη διάγνωσή τους είναι οι σαρώσεις αξονικής τομογραφίας (CT), η απεικόνιση μαγνητικού συντονισμού (MRI), η υπερηχογραφία και η σπινθηρογραφία υποδοχέων σωματοστατίνης. Χρήσιμες επίσης στη διάγνωση των NET είναι οι εξετάσεις αίματος και ούρων που αξιολογούν </w:t>
      </w:r>
      <w:r w:rsidR="0072268B" w:rsidRPr="006D7905">
        <w:rPr>
          <w:rFonts w:cs="Times New Roman"/>
          <w:szCs w:val="24"/>
          <w:lang w:val="el-GR"/>
        </w:rPr>
        <w:t xml:space="preserve">βιοδείκτες </w:t>
      </w:r>
      <w:r w:rsidRPr="006D7905">
        <w:rPr>
          <w:rFonts w:cs="Times New Roman"/>
          <w:szCs w:val="24"/>
          <w:lang w:val="el-GR"/>
        </w:rPr>
        <w:t>όπως η χρωμογρανίνη A (CgA) ή το 5-HIAA, ένα υποπροϊόν της σεροτονίνης</w:t>
      </w:r>
      <w:r w:rsidRPr="006D7905">
        <w:rPr>
          <w:rFonts w:cs="Times New Roman"/>
          <w:szCs w:val="24"/>
          <w:vertAlign w:val="superscript"/>
          <w:lang w:val="el-GR"/>
        </w:rPr>
        <w:t>13</w:t>
      </w:r>
      <w:r w:rsidRPr="006D7905">
        <w:rPr>
          <w:rFonts w:cs="Times New Roman"/>
          <w:szCs w:val="24"/>
          <w:lang w:val="el-GR"/>
        </w:rPr>
        <w:t xml:space="preserve">. </w:t>
      </w:r>
    </w:p>
    <w:p w:rsidR="006D7905" w:rsidRPr="006D7905" w:rsidRDefault="007C7592">
      <w:pPr>
        <w:jc w:val="left"/>
        <w:rPr>
          <w:rFonts w:cs="Times New Roman"/>
          <w:szCs w:val="24"/>
          <w:lang w:val="el-GR"/>
        </w:rPr>
      </w:pPr>
      <w:r w:rsidRPr="006D7905">
        <w:rPr>
          <w:rFonts w:cs="Times New Roman"/>
          <w:szCs w:val="24"/>
          <w:lang w:val="el-GR"/>
        </w:rPr>
        <w:t xml:space="preserve">Η θεραπεία των NET εξαρτάται από το μέγεθος και τη θέση του καρκίνου, την </w:t>
      </w:r>
      <w:r w:rsidR="005972B1" w:rsidRPr="006D7905">
        <w:rPr>
          <w:rFonts w:cs="Times New Roman"/>
          <w:szCs w:val="24"/>
          <w:lang w:val="el-GR"/>
        </w:rPr>
        <w:t>εξάπλωση</w:t>
      </w:r>
      <w:r w:rsidRPr="006D7905">
        <w:rPr>
          <w:rFonts w:cs="Times New Roman"/>
          <w:szCs w:val="24"/>
          <w:lang w:val="el-GR"/>
        </w:rPr>
        <w:t xml:space="preserve"> του καρκίνου σε άλλα μέρη του σώματος και τη συνολική υγεία του ασθενούς</w:t>
      </w:r>
      <w:r w:rsidRPr="006D7905">
        <w:rPr>
          <w:rFonts w:cs="Times New Roman"/>
          <w:szCs w:val="24"/>
          <w:vertAlign w:val="superscript"/>
          <w:lang w:val="el-GR"/>
        </w:rPr>
        <w:t>14</w:t>
      </w:r>
      <w:r w:rsidRPr="006D7905">
        <w:rPr>
          <w:rFonts w:cs="Times New Roman"/>
          <w:szCs w:val="24"/>
          <w:lang w:val="el-GR"/>
        </w:rPr>
        <w:t xml:space="preserve">. Οι τρέχουσες επιλογές θεραπείας περιλαμβάνουν χειρουργική επέμβαση, ακτινοθεραπεία, χημειοθεραπεία και </w:t>
      </w:r>
      <w:r w:rsidR="00C31DF9">
        <w:rPr>
          <w:rFonts w:cs="Times New Roman"/>
          <w:szCs w:val="24"/>
          <w:lang w:val="el-GR"/>
        </w:rPr>
        <w:t>φαρμακευτικές</w:t>
      </w:r>
      <w:r w:rsidRPr="006D7905">
        <w:rPr>
          <w:rFonts w:cs="Times New Roman"/>
          <w:szCs w:val="24"/>
          <w:lang w:val="el-GR"/>
        </w:rPr>
        <w:t xml:space="preserve"> θεραπείες</w:t>
      </w:r>
      <w:r w:rsidRPr="006D7905">
        <w:rPr>
          <w:rFonts w:cs="Times New Roman"/>
          <w:szCs w:val="24"/>
          <w:vertAlign w:val="superscript"/>
          <w:lang w:val="el-GR"/>
        </w:rPr>
        <w:t>8</w:t>
      </w:r>
      <w:r w:rsidRPr="006D7905">
        <w:rPr>
          <w:rFonts w:cs="Times New Roman"/>
          <w:szCs w:val="24"/>
          <w:lang w:val="el-GR"/>
        </w:rPr>
        <w:t xml:space="preserve">. </w:t>
      </w:r>
    </w:p>
    <w:p w:rsidR="007C7592" w:rsidRDefault="006D7905">
      <w:pPr>
        <w:jc w:val="left"/>
        <w:rPr>
          <w:rFonts w:cs="Times New Roman"/>
          <w:szCs w:val="24"/>
          <w:lang w:val="el-GR"/>
        </w:rPr>
      </w:pPr>
      <w:r w:rsidRPr="006D7905">
        <w:rPr>
          <w:rFonts w:cs="Times New Roman"/>
          <w:szCs w:val="24"/>
          <w:lang w:val="el-GR"/>
        </w:rPr>
        <w:br w:type="page"/>
      </w:r>
    </w:p>
    <w:p w:rsidR="006D7905" w:rsidRDefault="006D7905">
      <w:pPr>
        <w:jc w:val="left"/>
        <w:rPr>
          <w:rFonts w:cs="Times New Roman"/>
          <w:szCs w:val="24"/>
          <w:lang w:val="el-GR"/>
        </w:rPr>
      </w:pPr>
    </w:p>
    <w:p w:rsidR="006D7905" w:rsidRPr="00C40510" w:rsidRDefault="00DE33FB" w:rsidP="006D7905">
      <w:pPr>
        <w:spacing w:before="0"/>
        <w:ind w:left="360" w:firstLine="720"/>
        <w:rPr>
          <w:rFonts w:cs="Times New Roman"/>
          <w:b/>
          <w:i/>
          <w:szCs w:val="24"/>
          <w:u w:val="single"/>
          <w:lang w:val="el-GR"/>
        </w:rPr>
      </w:pPr>
      <w:r w:rsidRPr="00DE33FB">
        <w:rPr>
          <w:noProof/>
          <w:snapToGrid/>
          <w:lang w:val="el-GR"/>
        </w:rPr>
        <w:pict>
          <v:rect id="_x0000_s1030" style="position:absolute;left:0;text-align:left;margin-left:-11pt;margin-top:-14.45pt;width:466.55pt;height:113.45pt;z-index:-1" fillcolor="#f4d8e7" stroked="f" strokecolor="#ecbed6"/>
        </w:pict>
      </w:r>
      <w:r w:rsidRPr="00DE33FB">
        <w:rPr>
          <w:noProof/>
          <w:snapToGrid/>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 style="position:absolute;left:0;text-align:left;margin-left:4.95pt;margin-top:-9.35pt;width:39.25pt;height:72.85pt;z-index:2;visibility:visible">
            <v:imagedata r:id="rId7" o:title=""/>
          </v:shape>
        </w:pict>
      </w:r>
      <w:r w:rsidR="006D7905">
        <w:rPr>
          <w:rFonts w:cs="Times New Roman"/>
          <w:b/>
          <w:color w:val="0000FF"/>
          <w:szCs w:val="24"/>
          <w:lang w:val="el-GR"/>
        </w:rPr>
        <w:t xml:space="preserve">Παγκόσμια </w:t>
      </w:r>
      <w:r w:rsidR="006D7905">
        <w:rPr>
          <w:rFonts w:cs="Times New Roman"/>
          <w:b/>
          <w:color w:val="0000FF"/>
          <w:szCs w:val="24"/>
        </w:rPr>
        <w:t>H</w:t>
      </w:r>
      <w:r w:rsidR="006D7905">
        <w:rPr>
          <w:rFonts w:cs="Times New Roman"/>
          <w:b/>
          <w:color w:val="0000FF"/>
          <w:szCs w:val="24"/>
          <w:lang w:val="el-GR"/>
        </w:rPr>
        <w:t xml:space="preserve">μέρα για τους NET </w:t>
      </w:r>
    </w:p>
    <w:p w:rsidR="006D7905" w:rsidRPr="00C40510" w:rsidRDefault="006D7905" w:rsidP="006D7905">
      <w:pPr>
        <w:spacing w:before="0"/>
        <w:ind w:left="1080" w:right="117"/>
        <w:rPr>
          <w:rFonts w:cs="Times New Roman"/>
          <w:szCs w:val="24"/>
          <w:lang w:val="el-GR"/>
        </w:rPr>
      </w:pPr>
      <w:r>
        <w:rPr>
          <w:rFonts w:cs="Times New Roman"/>
          <w:color w:val="0000FF"/>
          <w:szCs w:val="24"/>
          <w:lang w:val="el-GR"/>
        </w:rPr>
        <w:t>Ομάδες ασθενών από 11 χώρες και τέσσερις ηπείρους ενώθηκαν για να ανακηρύξουν τη 10η Νοεμβρίου 2010 την πρώτη ετήσια Παγκόσμια Ημέρα για τους NET και να συμβάλουν στην ενημέρωση σχετικά με αυτή τη σπάνια μορφή καρκίνου.</w:t>
      </w:r>
      <w:r w:rsidRPr="00C40510">
        <w:rPr>
          <w:rFonts w:cs="Times New Roman"/>
          <w:szCs w:val="24"/>
          <w:lang w:val="el-GR"/>
        </w:rPr>
        <w:t xml:space="preserve"> </w:t>
      </w:r>
      <w:r>
        <w:rPr>
          <w:rFonts w:cs="Times New Roman"/>
          <w:color w:val="0000FF"/>
          <w:szCs w:val="24"/>
          <w:lang w:val="el-GR"/>
        </w:rPr>
        <w:t xml:space="preserve">Μάθετε περισσότερα και υπογράψτε τη διακήρυξη για να βοηθήσετε στην ευαισθητοποίηση για τους NET και την ανάγκη έγκαιρης διάγνωσης με μια επίσκεψη στη διεύθυνση </w:t>
      </w:r>
      <w:hyperlink r:id="rId8" w:history="1">
        <w:r>
          <w:rPr>
            <w:rStyle w:val="Hyperlink"/>
            <w:szCs w:val="24"/>
            <w:lang w:val="el-GR"/>
          </w:rPr>
          <w:t>www.netcancerday.org</w:t>
        </w:r>
      </w:hyperlink>
      <w:r>
        <w:rPr>
          <w:rFonts w:cs="Times New Roman"/>
          <w:color w:val="0000FF"/>
          <w:szCs w:val="24"/>
          <w:lang w:val="el-GR"/>
        </w:rPr>
        <w:t>.</w:t>
      </w:r>
      <w:r w:rsidRPr="00C40510">
        <w:rPr>
          <w:rFonts w:cs="Times New Roman"/>
          <w:szCs w:val="24"/>
          <w:lang w:val="el-GR"/>
        </w:rPr>
        <w:t xml:space="preserve"> </w:t>
      </w:r>
    </w:p>
    <w:p w:rsidR="006D7905" w:rsidRPr="00C40510" w:rsidRDefault="006D7905">
      <w:pPr>
        <w:jc w:val="left"/>
        <w:rPr>
          <w:rFonts w:cs="Times New Roman"/>
          <w:szCs w:val="24"/>
          <w:lang w:val="el-GR"/>
        </w:rPr>
      </w:pPr>
    </w:p>
    <w:p w:rsidR="007C7592" w:rsidRDefault="007C7592">
      <w:pPr>
        <w:jc w:val="center"/>
        <w:rPr>
          <w:rFonts w:cs="Times New Roman"/>
          <w:szCs w:val="24"/>
        </w:rPr>
      </w:pPr>
      <w:r>
        <w:rPr>
          <w:rFonts w:cs="Times New Roman"/>
          <w:szCs w:val="24"/>
        </w:rPr>
        <w:t># # #</w:t>
      </w:r>
    </w:p>
    <w:p w:rsidR="007C7592" w:rsidRDefault="007C7592">
      <w:pPr>
        <w:pStyle w:val="Heading2"/>
        <w:rPr>
          <w:rFonts w:cs="Times New Roman"/>
          <w:color w:val="000000"/>
          <w:szCs w:val="24"/>
        </w:rPr>
      </w:pPr>
    </w:p>
    <w:p w:rsidR="00477F73" w:rsidRDefault="00477F73" w:rsidP="00477F73">
      <w:pPr>
        <w:pStyle w:val="Heading2"/>
        <w:rPr>
          <w:rFonts w:cs="Times New Roman"/>
          <w:color w:val="000000"/>
          <w:szCs w:val="24"/>
        </w:rPr>
      </w:pPr>
      <w:r>
        <w:rPr>
          <w:rFonts w:cs="Times New Roman"/>
          <w:color w:val="0000FF"/>
          <w:szCs w:val="24"/>
          <w:lang w:val="el-GR"/>
        </w:rPr>
        <w:t>Παραπομπές</w:t>
      </w:r>
    </w:p>
    <w:p w:rsidR="007C7592" w:rsidRDefault="007C7592">
      <w:pPr>
        <w:numPr>
          <w:ilvl w:val="0"/>
          <w:numId w:val="11"/>
        </w:numPr>
        <w:spacing w:before="120"/>
        <w:ind w:left="360"/>
        <w:rPr>
          <w:rFonts w:cs="Times New Roman"/>
          <w:sz w:val="20"/>
          <w:szCs w:val="24"/>
        </w:rPr>
      </w:pPr>
      <w:r>
        <w:rPr>
          <w:rFonts w:cs="Times New Roman"/>
          <w:noProof/>
          <w:sz w:val="20"/>
          <w:szCs w:val="24"/>
        </w:rPr>
        <w:t>National Cancer Institute.</w:t>
      </w:r>
      <w:r>
        <w:rPr>
          <w:rFonts w:cs="Times New Roman"/>
          <w:sz w:val="20"/>
          <w:szCs w:val="24"/>
        </w:rPr>
        <w:t xml:space="preserve"> </w:t>
      </w:r>
      <w:r>
        <w:rPr>
          <w:rFonts w:cs="Times New Roman"/>
          <w:noProof/>
          <w:sz w:val="20"/>
          <w:szCs w:val="24"/>
        </w:rPr>
        <w:t>Dictionary of Cancer Terms:</w:t>
      </w:r>
      <w:r>
        <w:rPr>
          <w:rFonts w:cs="Times New Roman"/>
          <w:sz w:val="20"/>
          <w:szCs w:val="24"/>
        </w:rPr>
        <w:t xml:space="preserve"> </w:t>
      </w:r>
      <w:r>
        <w:rPr>
          <w:rFonts w:cs="Times New Roman"/>
          <w:noProof/>
          <w:sz w:val="20"/>
          <w:szCs w:val="24"/>
        </w:rPr>
        <w:t>neuroendocrine tumor.</w:t>
      </w:r>
      <w:r>
        <w:rPr>
          <w:rFonts w:cs="Times New Roman"/>
          <w:sz w:val="20"/>
          <w:szCs w:val="24"/>
        </w:rPr>
        <w:t xml:space="preserve"> </w:t>
      </w:r>
      <w:r>
        <w:rPr>
          <w:rFonts w:cs="Times New Roman"/>
          <w:noProof/>
          <w:sz w:val="20"/>
          <w:szCs w:val="24"/>
        </w:rPr>
        <w:t>Available at:</w:t>
      </w:r>
      <w:r>
        <w:rPr>
          <w:rFonts w:cs="Times New Roman"/>
          <w:sz w:val="20"/>
          <w:szCs w:val="24"/>
        </w:rPr>
        <w:t xml:space="preserve"> </w:t>
      </w:r>
      <w:hyperlink r:id="rId9" w:history="1">
        <w:r>
          <w:rPr>
            <w:rStyle w:val="Hyperlink"/>
            <w:noProof/>
            <w:sz w:val="20"/>
            <w:szCs w:val="24"/>
          </w:rPr>
          <w:t>http://www.cancer.gov/dictionary</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p>
    <w:p w:rsidR="007C7592" w:rsidRDefault="007C7592">
      <w:pPr>
        <w:numPr>
          <w:ilvl w:val="0"/>
          <w:numId w:val="11"/>
        </w:numPr>
        <w:spacing w:before="120"/>
        <w:ind w:left="360"/>
        <w:rPr>
          <w:rFonts w:cs="Times New Roman"/>
          <w:sz w:val="20"/>
          <w:szCs w:val="24"/>
        </w:rPr>
      </w:pPr>
      <w:smartTag w:uri="urn:schemas-microsoft-com:office:smarttags" w:element="City">
        <w:smartTag w:uri="urn:schemas-microsoft-com:office:smarttags" w:element="place">
          <w:r>
            <w:rPr>
              <w:rFonts w:cs="Times New Roman"/>
              <w:noProof/>
              <w:sz w:val="20"/>
              <w:szCs w:val="24"/>
            </w:rPr>
            <w:t>Yao</w:t>
          </w:r>
        </w:smartTag>
      </w:smartTag>
      <w:r>
        <w:rPr>
          <w:rFonts w:cs="Times New Roman"/>
          <w:noProof/>
          <w:sz w:val="20"/>
          <w:szCs w:val="24"/>
        </w:rPr>
        <w:t>, et al.</w:t>
      </w:r>
      <w:r>
        <w:rPr>
          <w:rFonts w:cs="Times New Roman"/>
          <w:sz w:val="20"/>
          <w:szCs w:val="24"/>
        </w:rPr>
        <w:t xml:space="preserve"> </w:t>
      </w:r>
      <w:r>
        <w:rPr>
          <w:rFonts w:cs="Times New Roman"/>
          <w:noProof/>
          <w:sz w:val="20"/>
          <w:szCs w:val="24"/>
        </w:rPr>
        <w:t>One Hundred Years After "Carcinoid:"</w:t>
      </w:r>
      <w:r>
        <w:rPr>
          <w:rFonts w:cs="Times New Roman"/>
          <w:sz w:val="20"/>
          <w:szCs w:val="24"/>
        </w:rPr>
        <w:t xml:space="preserve"> </w:t>
      </w:r>
      <w:r>
        <w:rPr>
          <w:rFonts w:cs="Times New Roman"/>
          <w:noProof/>
          <w:sz w:val="20"/>
          <w:szCs w:val="24"/>
        </w:rPr>
        <w:t xml:space="preserve">Epidemiology of and Prognostic Factors for Neuroendocrine Tumors in 35,825 Cases in the </w:t>
      </w:r>
      <w:smartTag w:uri="urn:schemas-microsoft-com:office:smarttags" w:element="country-region">
        <w:smartTag w:uri="urn:schemas-microsoft-com:office:smarttags" w:element="place">
          <w:r>
            <w:rPr>
              <w:rFonts w:cs="Times New Roman"/>
              <w:noProof/>
              <w:sz w:val="20"/>
              <w:szCs w:val="24"/>
            </w:rPr>
            <w:t>United States</w:t>
          </w:r>
        </w:smartTag>
      </w:smartTag>
      <w:r>
        <w:rPr>
          <w:rFonts w:cs="Times New Roman"/>
          <w:noProof/>
          <w:sz w:val="20"/>
          <w:szCs w:val="24"/>
        </w:rPr>
        <w:t>.</w:t>
      </w:r>
      <w:r>
        <w:rPr>
          <w:rFonts w:cs="Times New Roman"/>
          <w:sz w:val="20"/>
          <w:szCs w:val="24"/>
        </w:rPr>
        <w:t xml:space="preserve"> </w:t>
      </w:r>
      <w:r>
        <w:rPr>
          <w:rFonts w:cs="Times New Roman"/>
          <w:noProof/>
          <w:sz w:val="20"/>
          <w:szCs w:val="24"/>
        </w:rPr>
        <w:t>Journal of Clinical Oncology.</w:t>
      </w:r>
      <w:r>
        <w:rPr>
          <w:rFonts w:cs="Times New Roman"/>
          <w:sz w:val="20"/>
          <w:szCs w:val="24"/>
        </w:rPr>
        <w:t xml:space="preserve"> </w:t>
      </w:r>
      <w:r>
        <w:rPr>
          <w:rFonts w:cs="Times New Roman"/>
          <w:noProof/>
          <w:sz w:val="20"/>
          <w:szCs w:val="24"/>
        </w:rPr>
        <w:t>June 20 2009; vol. 26, number 18.</w:t>
      </w:r>
    </w:p>
    <w:p w:rsidR="007C7592" w:rsidRDefault="007C7592">
      <w:pPr>
        <w:numPr>
          <w:ilvl w:val="0"/>
          <w:numId w:val="11"/>
        </w:numPr>
        <w:spacing w:before="120"/>
        <w:ind w:left="360"/>
        <w:rPr>
          <w:rFonts w:cs="Times New Roman"/>
          <w:sz w:val="20"/>
          <w:szCs w:val="24"/>
        </w:rPr>
      </w:pPr>
      <w:r>
        <w:rPr>
          <w:rFonts w:cs="Times New Roman"/>
          <w:noProof/>
          <w:sz w:val="20"/>
          <w:szCs w:val="24"/>
        </w:rPr>
        <w:t>American Cancer Society.</w:t>
      </w:r>
      <w:r>
        <w:rPr>
          <w:rFonts w:cs="Times New Roman"/>
          <w:sz w:val="20"/>
          <w:szCs w:val="24"/>
        </w:rPr>
        <w:t xml:space="preserve"> </w:t>
      </w:r>
      <w:r>
        <w:rPr>
          <w:rFonts w:cs="Times New Roman"/>
          <w:noProof/>
          <w:sz w:val="20"/>
          <w:szCs w:val="24"/>
        </w:rPr>
        <w:t>What Are the Key Statistics About Gastrointestinal Carcinoid Tumors?</w:t>
      </w:r>
      <w:r>
        <w:rPr>
          <w:rFonts w:cs="Times New Roman"/>
          <w:sz w:val="20"/>
          <w:szCs w:val="24"/>
        </w:rPr>
        <w:t xml:space="preserve"> </w:t>
      </w:r>
      <w:r>
        <w:rPr>
          <w:rFonts w:cs="Times New Roman"/>
          <w:noProof/>
          <w:sz w:val="20"/>
          <w:szCs w:val="24"/>
        </w:rPr>
        <w:t>Available at:</w:t>
      </w:r>
      <w:r>
        <w:rPr>
          <w:rFonts w:cs="Times New Roman"/>
          <w:sz w:val="20"/>
          <w:szCs w:val="24"/>
        </w:rPr>
        <w:t xml:space="preserve"> </w:t>
      </w:r>
      <w:hyperlink r:id="rId10" w:history="1">
        <w:r>
          <w:rPr>
            <w:rStyle w:val="Hyperlink"/>
            <w:noProof/>
            <w:sz w:val="20"/>
            <w:szCs w:val="24"/>
          </w:rPr>
          <w:t>http://www.cancer.org/docroot/CRI/content/CRI_2_4_1X_What_are_the_key_statistics_for_gastrointestinal_carcinoid_tumors_14.asp?rnav=cri</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p>
    <w:p w:rsidR="007C7592" w:rsidRDefault="007C7592">
      <w:pPr>
        <w:numPr>
          <w:ilvl w:val="0"/>
          <w:numId w:val="11"/>
        </w:numPr>
        <w:spacing w:before="120"/>
        <w:ind w:left="360"/>
        <w:rPr>
          <w:rFonts w:cs="Times New Roman"/>
          <w:sz w:val="20"/>
          <w:szCs w:val="24"/>
        </w:rPr>
      </w:pPr>
      <w:r>
        <w:rPr>
          <w:rFonts w:cs="Times New Roman"/>
          <w:noProof/>
          <w:sz w:val="20"/>
          <w:szCs w:val="24"/>
        </w:rPr>
        <w:t xml:space="preserve">National </w:t>
      </w:r>
      <w:smartTag w:uri="urn:schemas-microsoft-com:office:smarttags" w:element="place">
        <w:smartTag w:uri="urn:schemas-microsoft-com:office:smarttags" w:element="PlaceType">
          <w:r>
            <w:rPr>
              <w:rFonts w:cs="Times New Roman"/>
              <w:noProof/>
              <w:sz w:val="20"/>
              <w:szCs w:val="24"/>
            </w:rPr>
            <w:t>Institute</w:t>
          </w:r>
        </w:smartTag>
        <w:r>
          <w:rPr>
            <w:rFonts w:cs="Times New Roman"/>
            <w:noProof/>
            <w:sz w:val="20"/>
            <w:szCs w:val="24"/>
          </w:rPr>
          <w:t xml:space="preserve"> of </w:t>
        </w:r>
        <w:smartTag w:uri="urn:schemas-microsoft-com:office:smarttags" w:element="PlaceName">
          <w:r>
            <w:rPr>
              <w:rFonts w:cs="Times New Roman"/>
              <w:noProof/>
              <w:sz w:val="20"/>
              <w:szCs w:val="24"/>
            </w:rPr>
            <w:t>Health</w:t>
          </w:r>
        </w:smartTag>
      </w:smartTag>
      <w:r>
        <w:rPr>
          <w:rFonts w:cs="Times New Roman"/>
          <w:noProof/>
          <w:sz w:val="20"/>
          <w:szCs w:val="24"/>
        </w:rPr>
        <w:t>, MedlinePlus Medical Encyclopedia:</w:t>
      </w:r>
      <w:r>
        <w:rPr>
          <w:rFonts w:cs="Times New Roman"/>
          <w:sz w:val="20"/>
          <w:szCs w:val="24"/>
        </w:rPr>
        <w:t xml:space="preserve"> </w:t>
      </w:r>
      <w:r>
        <w:rPr>
          <w:rFonts w:cs="Times New Roman"/>
          <w:noProof/>
          <w:sz w:val="20"/>
          <w:szCs w:val="24"/>
        </w:rPr>
        <w:t>Pancreatic islet cell tumor.</w:t>
      </w:r>
      <w:r>
        <w:rPr>
          <w:rFonts w:cs="Times New Roman"/>
          <w:sz w:val="20"/>
          <w:szCs w:val="24"/>
        </w:rPr>
        <w:t xml:space="preserve"> </w:t>
      </w:r>
      <w:r>
        <w:rPr>
          <w:rFonts w:cs="Times New Roman"/>
          <w:noProof/>
          <w:sz w:val="20"/>
          <w:szCs w:val="24"/>
        </w:rPr>
        <w:t>Available at:</w:t>
      </w:r>
      <w:r>
        <w:rPr>
          <w:rFonts w:cs="Times New Roman"/>
          <w:sz w:val="20"/>
          <w:szCs w:val="24"/>
        </w:rPr>
        <w:t xml:space="preserve"> </w:t>
      </w:r>
      <w:hyperlink r:id="rId11" w:history="1">
        <w:r>
          <w:rPr>
            <w:rStyle w:val="Hyperlink"/>
            <w:noProof/>
            <w:sz w:val="20"/>
            <w:szCs w:val="24"/>
          </w:rPr>
          <w:t>http://www.nlm.nih.gov/medlineplus/ency/article/000393.htm</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r>
        <w:rPr>
          <w:rFonts w:cs="Times New Roman"/>
          <w:sz w:val="20"/>
          <w:szCs w:val="24"/>
        </w:rPr>
        <w:t xml:space="preserve"> </w:t>
      </w:r>
    </w:p>
    <w:p w:rsidR="007C7592" w:rsidRDefault="007C7592">
      <w:pPr>
        <w:numPr>
          <w:ilvl w:val="0"/>
          <w:numId w:val="11"/>
        </w:numPr>
        <w:spacing w:before="120"/>
        <w:ind w:left="360"/>
        <w:rPr>
          <w:rFonts w:cs="Times New Roman"/>
          <w:sz w:val="20"/>
          <w:szCs w:val="24"/>
        </w:rPr>
      </w:pPr>
      <w:r>
        <w:rPr>
          <w:rFonts w:cs="Times New Roman"/>
          <w:noProof/>
          <w:sz w:val="20"/>
          <w:szCs w:val="24"/>
        </w:rPr>
        <w:t>Halfdanarson, et al.</w:t>
      </w:r>
      <w:r>
        <w:rPr>
          <w:rFonts w:cs="Times New Roman"/>
          <w:sz w:val="20"/>
          <w:szCs w:val="24"/>
        </w:rPr>
        <w:t xml:space="preserve"> </w:t>
      </w:r>
      <w:r>
        <w:rPr>
          <w:rFonts w:cs="Times New Roman"/>
          <w:noProof/>
          <w:sz w:val="20"/>
          <w:szCs w:val="24"/>
        </w:rPr>
        <w:t>Pancreatic neuroendocrine tumors (PNETs):</w:t>
      </w:r>
      <w:r>
        <w:rPr>
          <w:rFonts w:cs="Times New Roman"/>
          <w:sz w:val="20"/>
          <w:szCs w:val="24"/>
        </w:rPr>
        <w:t xml:space="preserve"> </w:t>
      </w:r>
      <w:r>
        <w:rPr>
          <w:rFonts w:cs="Times New Roman"/>
          <w:noProof/>
          <w:sz w:val="20"/>
          <w:szCs w:val="24"/>
        </w:rPr>
        <w:t>incidence, prognosis and recent trend toward improved survival.</w:t>
      </w:r>
      <w:r>
        <w:rPr>
          <w:rFonts w:cs="Times New Roman"/>
          <w:sz w:val="20"/>
          <w:szCs w:val="24"/>
        </w:rPr>
        <w:t xml:space="preserve"> </w:t>
      </w:r>
      <w:r>
        <w:rPr>
          <w:rFonts w:cs="Times New Roman"/>
          <w:noProof/>
          <w:sz w:val="20"/>
          <w:szCs w:val="24"/>
        </w:rPr>
        <w:t>Annals of Onc 19:</w:t>
      </w:r>
      <w:r>
        <w:rPr>
          <w:rFonts w:cs="Times New Roman"/>
          <w:sz w:val="20"/>
          <w:szCs w:val="24"/>
        </w:rPr>
        <w:t xml:space="preserve"> 1727-1733, 2008.</w:t>
      </w:r>
    </w:p>
    <w:p w:rsidR="007C7592" w:rsidRDefault="007C7592">
      <w:pPr>
        <w:numPr>
          <w:ilvl w:val="0"/>
          <w:numId w:val="11"/>
        </w:numPr>
        <w:spacing w:before="120"/>
        <w:ind w:left="360"/>
        <w:rPr>
          <w:rFonts w:cs="Times New Roman"/>
          <w:sz w:val="20"/>
          <w:szCs w:val="24"/>
        </w:rPr>
      </w:pPr>
      <w:r>
        <w:rPr>
          <w:rFonts w:cs="Times New Roman"/>
          <w:noProof/>
          <w:sz w:val="20"/>
          <w:szCs w:val="24"/>
        </w:rPr>
        <w:t>Akerstrom, et al.</w:t>
      </w:r>
      <w:r>
        <w:rPr>
          <w:rFonts w:cs="Times New Roman"/>
          <w:sz w:val="20"/>
          <w:szCs w:val="24"/>
        </w:rPr>
        <w:t xml:space="preserve"> </w:t>
      </w:r>
      <w:r>
        <w:rPr>
          <w:rFonts w:cs="Times New Roman"/>
          <w:noProof/>
          <w:sz w:val="20"/>
          <w:szCs w:val="24"/>
        </w:rPr>
        <w:t>Timing and extent of surgery in symptomatic and asymptomatic neuroendocrine tumors of the pancreas in MEN 1. Langenbecks Arch Surg.</w:t>
      </w:r>
      <w:r>
        <w:rPr>
          <w:rFonts w:cs="Times New Roman"/>
          <w:sz w:val="20"/>
          <w:szCs w:val="24"/>
        </w:rPr>
        <w:t xml:space="preserve"> </w:t>
      </w:r>
      <w:r>
        <w:rPr>
          <w:rFonts w:cs="Times New Roman"/>
          <w:noProof/>
          <w:sz w:val="20"/>
          <w:szCs w:val="24"/>
        </w:rPr>
        <w:t>2002 Mar;386(8):558-69. Epub 2002 Jan 24.</w:t>
      </w:r>
    </w:p>
    <w:p w:rsidR="007C7592" w:rsidRDefault="007C7592">
      <w:pPr>
        <w:numPr>
          <w:ilvl w:val="0"/>
          <w:numId w:val="11"/>
        </w:numPr>
        <w:spacing w:before="120"/>
        <w:ind w:left="360"/>
        <w:rPr>
          <w:rFonts w:cs="Times New Roman"/>
          <w:sz w:val="20"/>
          <w:szCs w:val="24"/>
        </w:rPr>
      </w:pPr>
      <w:r>
        <w:rPr>
          <w:rFonts w:cs="Times New Roman"/>
          <w:noProof/>
          <w:sz w:val="20"/>
          <w:szCs w:val="24"/>
        </w:rPr>
        <w:t>Modlin, et al.</w:t>
      </w:r>
      <w:r>
        <w:rPr>
          <w:rFonts w:cs="Times New Roman"/>
          <w:sz w:val="20"/>
          <w:szCs w:val="24"/>
        </w:rPr>
        <w:t xml:space="preserve"> </w:t>
      </w:r>
      <w:r>
        <w:rPr>
          <w:rFonts w:cs="Times New Roman"/>
          <w:noProof/>
          <w:sz w:val="20"/>
          <w:szCs w:val="24"/>
        </w:rPr>
        <w:t>Priorities for Improving the Management of Gasteroenteropancreatic Neuroendocrine Tumors.</w:t>
      </w:r>
      <w:r>
        <w:rPr>
          <w:rFonts w:cs="Times New Roman"/>
          <w:sz w:val="20"/>
          <w:szCs w:val="24"/>
        </w:rPr>
        <w:t xml:space="preserve"> </w:t>
      </w:r>
      <w:r>
        <w:rPr>
          <w:rFonts w:cs="Times New Roman"/>
          <w:noProof/>
          <w:sz w:val="20"/>
          <w:szCs w:val="24"/>
        </w:rPr>
        <w:t>J Natl Cancer Inst 2008;100:1282-1289.</w:t>
      </w:r>
    </w:p>
    <w:p w:rsidR="007C7592" w:rsidRDefault="007C7592">
      <w:pPr>
        <w:numPr>
          <w:ilvl w:val="0"/>
          <w:numId w:val="11"/>
        </w:numPr>
        <w:spacing w:before="120"/>
        <w:ind w:left="360"/>
        <w:rPr>
          <w:rFonts w:cs="Times New Roman"/>
          <w:sz w:val="20"/>
          <w:szCs w:val="24"/>
        </w:rPr>
      </w:pPr>
      <w:r>
        <w:rPr>
          <w:rFonts w:cs="Times New Roman"/>
          <w:noProof/>
          <w:sz w:val="20"/>
          <w:szCs w:val="24"/>
        </w:rPr>
        <w:t>Caring for Carcinoid Foundation.</w:t>
      </w:r>
      <w:r>
        <w:rPr>
          <w:rFonts w:cs="Times New Roman"/>
          <w:sz w:val="20"/>
          <w:szCs w:val="24"/>
        </w:rPr>
        <w:t xml:space="preserve"> </w:t>
      </w:r>
      <w:r>
        <w:rPr>
          <w:rFonts w:cs="Times New Roman"/>
          <w:noProof/>
          <w:sz w:val="20"/>
          <w:szCs w:val="24"/>
        </w:rPr>
        <w:t>Understanding Neuroendocrine Tumors.</w:t>
      </w:r>
      <w:r>
        <w:rPr>
          <w:rFonts w:cs="Times New Roman"/>
          <w:sz w:val="20"/>
          <w:szCs w:val="24"/>
        </w:rPr>
        <w:t xml:space="preserve"> </w:t>
      </w:r>
      <w:r>
        <w:rPr>
          <w:rFonts w:cs="Times New Roman"/>
          <w:noProof/>
          <w:sz w:val="20"/>
          <w:szCs w:val="24"/>
        </w:rPr>
        <w:t>Available at:</w:t>
      </w:r>
      <w:r>
        <w:rPr>
          <w:rFonts w:cs="Times New Roman"/>
          <w:sz w:val="20"/>
          <w:szCs w:val="24"/>
        </w:rPr>
        <w:t xml:space="preserve"> </w:t>
      </w:r>
      <w:hyperlink r:id="rId12" w:history="1">
        <w:r>
          <w:rPr>
            <w:rStyle w:val="Hyperlink"/>
            <w:noProof/>
            <w:sz w:val="20"/>
            <w:szCs w:val="24"/>
          </w:rPr>
          <w:t>https://navcan-production.s3.amazonaws.com/document/32/attachment/Neuroendocrine_Tumor_Brochure.pdf?Signature=pcNI7hfiZ9kwjTEMcetQ73MwEOM%3D&amp;Expires=1275508240&amp;AWSAccessKeyId=AKIAIZUDLM6ICC6RC2FA</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p>
    <w:p w:rsidR="007C7592" w:rsidRDefault="007C7592">
      <w:pPr>
        <w:numPr>
          <w:ilvl w:val="0"/>
          <w:numId w:val="11"/>
        </w:numPr>
        <w:spacing w:before="120"/>
        <w:ind w:left="360"/>
        <w:rPr>
          <w:rFonts w:cs="Times New Roman"/>
          <w:sz w:val="20"/>
          <w:szCs w:val="24"/>
        </w:rPr>
      </w:pPr>
      <w:r>
        <w:rPr>
          <w:rFonts w:cs="Times New Roman"/>
          <w:noProof/>
          <w:sz w:val="20"/>
          <w:szCs w:val="24"/>
        </w:rPr>
        <w:t>Klöppel, et al.</w:t>
      </w:r>
      <w:r>
        <w:rPr>
          <w:rFonts w:cs="Times New Roman"/>
          <w:sz w:val="20"/>
          <w:szCs w:val="24"/>
        </w:rPr>
        <w:t xml:space="preserve"> </w:t>
      </w:r>
      <w:r>
        <w:rPr>
          <w:rFonts w:cs="Times New Roman"/>
          <w:noProof/>
          <w:sz w:val="20"/>
          <w:szCs w:val="24"/>
        </w:rPr>
        <w:t>The Gastroenteropancreatic Neuroendocrine Cell System and Its Tumors:</w:t>
      </w:r>
      <w:r>
        <w:rPr>
          <w:rFonts w:cs="Times New Roman"/>
          <w:sz w:val="20"/>
          <w:szCs w:val="24"/>
        </w:rPr>
        <w:t xml:space="preserve"> </w:t>
      </w:r>
      <w:r>
        <w:rPr>
          <w:rFonts w:cs="Times New Roman"/>
          <w:noProof/>
          <w:sz w:val="20"/>
          <w:szCs w:val="24"/>
        </w:rPr>
        <w:t xml:space="preserve">the WHO Classification. </w:t>
      </w:r>
      <w:smartTag w:uri="urn:schemas-microsoft-com:office:smarttags" w:element="place">
        <w:smartTag w:uri="urn:schemas-microsoft-com:office:smarttags" w:element="City">
          <w:r>
            <w:rPr>
              <w:rFonts w:cs="Times New Roman"/>
              <w:noProof/>
              <w:sz w:val="20"/>
              <w:szCs w:val="24"/>
            </w:rPr>
            <w:t>Ann.</w:t>
          </w:r>
        </w:smartTag>
        <w:r>
          <w:rPr>
            <w:rFonts w:cs="Times New Roman"/>
            <w:noProof/>
            <w:sz w:val="20"/>
            <w:szCs w:val="24"/>
          </w:rPr>
          <w:t xml:space="preserve"> </w:t>
        </w:r>
        <w:smartTag w:uri="urn:schemas-microsoft-com:office:smarttags" w:element="State">
          <w:r>
            <w:rPr>
              <w:rFonts w:cs="Times New Roman"/>
              <w:noProof/>
              <w:sz w:val="20"/>
              <w:szCs w:val="24"/>
            </w:rPr>
            <w:t>N.Y.</w:t>
          </w:r>
        </w:smartTag>
      </w:smartTag>
      <w:r>
        <w:rPr>
          <w:rFonts w:cs="Times New Roman"/>
          <w:noProof/>
          <w:sz w:val="20"/>
          <w:szCs w:val="24"/>
        </w:rPr>
        <w:t xml:space="preserve"> Acad. Sci. 1014:</w:t>
      </w:r>
      <w:r>
        <w:rPr>
          <w:rFonts w:cs="Times New Roman"/>
          <w:sz w:val="20"/>
          <w:szCs w:val="24"/>
        </w:rPr>
        <w:t xml:space="preserve"> 13–27, 2004.</w:t>
      </w:r>
    </w:p>
    <w:p w:rsidR="007C7592" w:rsidRDefault="007C7592">
      <w:pPr>
        <w:numPr>
          <w:ilvl w:val="0"/>
          <w:numId w:val="11"/>
        </w:numPr>
        <w:spacing w:before="120"/>
        <w:ind w:left="360"/>
        <w:rPr>
          <w:rFonts w:cs="Times New Roman"/>
          <w:sz w:val="20"/>
          <w:szCs w:val="24"/>
        </w:rPr>
      </w:pPr>
      <w:r>
        <w:rPr>
          <w:rFonts w:cs="Times New Roman"/>
          <w:noProof/>
          <w:sz w:val="20"/>
          <w:szCs w:val="24"/>
        </w:rPr>
        <w:t>Schloss, et al.</w:t>
      </w:r>
      <w:r>
        <w:rPr>
          <w:rFonts w:cs="Times New Roman"/>
          <w:sz w:val="20"/>
          <w:szCs w:val="24"/>
        </w:rPr>
        <w:t xml:space="preserve"> </w:t>
      </w:r>
      <w:r>
        <w:rPr>
          <w:rFonts w:cs="Times New Roman"/>
          <w:noProof/>
          <w:sz w:val="20"/>
          <w:szCs w:val="24"/>
        </w:rPr>
        <w:t>The serotonin transporter:</w:t>
      </w:r>
      <w:r>
        <w:rPr>
          <w:rFonts w:cs="Times New Roman"/>
          <w:sz w:val="20"/>
          <w:szCs w:val="24"/>
        </w:rPr>
        <w:t xml:space="preserve"> </w:t>
      </w:r>
      <w:r>
        <w:rPr>
          <w:rFonts w:cs="Times New Roman"/>
          <w:noProof/>
          <w:sz w:val="20"/>
          <w:szCs w:val="24"/>
        </w:rPr>
        <w:t>a primary target for antidepressant drugs.</w:t>
      </w:r>
      <w:r>
        <w:rPr>
          <w:rFonts w:cs="Times New Roman"/>
          <w:sz w:val="20"/>
          <w:szCs w:val="24"/>
        </w:rPr>
        <w:t xml:space="preserve"> </w:t>
      </w:r>
      <w:r>
        <w:rPr>
          <w:rFonts w:cs="Times New Roman"/>
          <w:noProof/>
          <w:sz w:val="20"/>
          <w:szCs w:val="24"/>
        </w:rPr>
        <w:t>J Psychopharmacol 1998; 12(2):115-21.</w:t>
      </w:r>
    </w:p>
    <w:p w:rsidR="007C7592" w:rsidRDefault="007C7592">
      <w:pPr>
        <w:numPr>
          <w:ilvl w:val="0"/>
          <w:numId w:val="11"/>
        </w:numPr>
        <w:spacing w:before="120"/>
        <w:ind w:left="360"/>
        <w:rPr>
          <w:rFonts w:cs="Times New Roman"/>
          <w:sz w:val="20"/>
          <w:szCs w:val="24"/>
        </w:rPr>
      </w:pPr>
      <w:r>
        <w:rPr>
          <w:rFonts w:cs="Times New Roman"/>
          <w:noProof/>
          <w:sz w:val="20"/>
          <w:szCs w:val="24"/>
        </w:rPr>
        <w:t>Hassan, et al.</w:t>
      </w:r>
      <w:r>
        <w:rPr>
          <w:rFonts w:cs="Times New Roman"/>
          <w:sz w:val="20"/>
          <w:szCs w:val="24"/>
        </w:rPr>
        <w:t xml:space="preserve"> </w:t>
      </w:r>
      <w:r>
        <w:rPr>
          <w:rFonts w:cs="Times New Roman"/>
          <w:noProof/>
          <w:sz w:val="20"/>
          <w:szCs w:val="24"/>
        </w:rPr>
        <w:t>Risk factors associated with neuroendocrine tumors:</w:t>
      </w:r>
      <w:r>
        <w:rPr>
          <w:rFonts w:cs="Times New Roman"/>
          <w:sz w:val="20"/>
          <w:szCs w:val="24"/>
        </w:rPr>
        <w:t xml:space="preserve"> </w:t>
      </w:r>
      <w:r>
        <w:rPr>
          <w:rFonts w:cs="Times New Roman"/>
          <w:noProof/>
          <w:sz w:val="20"/>
          <w:szCs w:val="24"/>
        </w:rPr>
        <w:t>A U.S.-based case-control study.</w:t>
      </w:r>
      <w:r>
        <w:rPr>
          <w:rFonts w:cs="Times New Roman"/>
          <w:sz w:val="20"/>
          <w:szCs w:val="24"/>
        </w:rPr>
        <w:t xml:space="preserve"> </w:t>
      </w:r>
      <w:r>
        <w:rPr>
          <w:rFonts w:cs="Times New Roman"/>
          <w:noProof/>
          <w:sz w:val="20"/>
          <w:szCs w:val="24"/>
        </w:rPr>
        <w:t>Int J Cancer.</w:t>
      </w:r>
      <w:r>
        <w:rPr>
          <w:rFonts w:cs="Times New Roman"/>
          <w:sz w:val="20"/>
          <w:szCs w:val="24"/>
        </w:rPr>
        <w:t xml:space="preserve"> </w:t>
      </w:r>
      <w:r>
        <w:rPr>
          <w:rFonts w:cs="Times New Roman"/>
          <w:noProof/>
          <w:sz w:val="20"/>
          <w:szCs w:val="24"/>
        </w:rPr>
        <w:t>2008 Aug 15;123(4):867-73.</w:t>
      </w:r>
      <w:r>
        <w:rPr>
          <w:rFonts w:cs="Times New Roman"/>
          <w:sz w:val="20"/>
          <w:szCs w:val="24"/>
        </w:rPr>
        <w:t xml:space="preserve"> </w:t>
      </w:r>
    </w:p>
    <w:p w:rsidR="007C7592" w:rsidRDefault="007C7592">
      <w:pPr>
        <w:numPr>
          <w:ilvl w:val="0"/>
          <w:numId w:val="11"/>
        </w:numPr>
        <w:spacing w:before="120"/>
        <w:ind w:left="360"/>
        <w:rPr>
          <w:rFonts w:cs="Times New Roman"/>
          <w:sz w:val="20"/>
          <w:szCs w:val="24"/>
        </w:rPr>
      </w:pPr>
      <w:r>
        <w:rPr>
          <w:rFonts w:cs="Times New Roman"/>
          <w:noProof/>
          <w:sz w:val="20"/>
          <w:szCs w:val="24"/>
        </w:rPr>
        <w:t>Mamikunian, et al.</w:t>
      </w:r>
      <w:r>
        <w:rPr>
          <w:rFonts w:cs="Times New Roman"/>
          <w:sz w:val="20"/>
          <w:szCs w:val="24"/>
        </w:rPr>
        <w:t xml:space="preserve"> </w:t>
      </w:r>
      <w:r>
        <w:rPr>
          <w:rFonts w:cs="Times New Roman"/>
          <w:noProof/>
          <w:sz w:val="20"/>
          <w:szCs w:val="24"/>
        </w:rPr>
        <w:t>Neuroendocrine Tumors:</w:t>
      </w:r>
      <w:r>
        <w:rPr>
          <w:rFonts w:cs="Times New Roman"/>
          <w:sz w:val="20"/>
          <w:szCs w:val="24"/>
        </w:rPr>
        <w:t xml:space="preserve"> </w:t>
      </w:r>
      <w:r>
        <w:rPr>
          <w:rFonts w:cs="Times New Roman"/>
          <w:noProof/>
          <w:sz w:val="20"/>
          <w:szCs w:val="24"/>
        </w:rPr>
        <w:t>A Comprehensive Guide to Diagnosis and Management:</w:t>
      </w:r>
      <w:r>
        <w:rPr>
          <w:rFonts w:cs="Times New Roman"/>
          <w:sz w:val="20"/>
          <w:szCs w:val="24"/>
        </w:rPr>
        <w:t xml:space="preserve"> </w:t>
      </w:r>
      <w:r>
        <w:rPr>
          <w:rFonts w:cs="Times New Roman"/>
          <w:noProof/>
          <w:sz w:val="20"/>
          <w:szCs w:val="24"/>
        </w:rPr>
        <w:t>4</w:t>
      </w:r>
      <w:r>
        <w:rPr>
          <w:rFonts w:cs="Times New Roman"/>
          <w:noProof/>
          <w:sz w:val="20"/>
          <w:szCs w:val="24"/>
          <w:vertAlign w:val="superscript"/>
        </w:rPr>
        <w:t>th</w:t>
      </w:r>
      <w:r>
        <w:rPr>
          <w:rFonts w:cs="Times New Roman"/>
          <w:noProof/>
          <w:sz w:val="20"/>
          <w:szCs w:val="24"/>
        </w:rPr>
        <w:t xml:space="preserve"> ed. Available at </w:t>
      </w:r>
      <w:hyperlink r:id="rId13" w:history="1">
        <w:r>
          <w:rPr>
            <w:rStyle w:val="Hyperlink"/>
            <w:noProof/>
            <w:sz w:val="20"/>
            <w:szCs w:val="24"/>
          </w:rPr>
          <w:t>http://www.interscienceinstitute.com/docs/Neuroendocrine-Tumors-4th-Edition.pdf</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r>
        <w:rPr>
          <w:rFonts w:cs="Times New Roman"/>
          <w:sz w:val="20"/>
          <w:szCs w:val="24"/>
        </w:rPr>
        <w:t xml:space="preserve"> </w:t>
      </w:r>
    </w:p>
    <w:p w:rsidR="007C7592" w:rsidRDefault="007C7592">
      <w:pPr>
        <w:numPr>
          <w:ilvl w:val="0"/>
          <w:numId w:val="11"/>
        </w:numPr>
        <w:spacing w:before="120"/>
        <w:ind w:left="360"/>
        <w:rPr>
          <w:rFonts w:cs="Times New Roman"/>
          <w:sz w:val="20"/>
          <w:szCs w:val="24"/>
        </w:rPr>
      </w:pPr>
      <w:r>
        <w:rPr>
          <w:rFonts w:cs="Times New Roman"/>
          <w:noProof/>
          <w:sz w:val="20"/>
          <w:szCs w:val="24"/>
        </w:rPr>
        <w:t>American Cancer Society.</w:t>
      </w:r>
      <w:r>
        <w:rPr>
          <w:rFonts w:cs="Times New Roman"/>
          <w:sz w:val="20"/>
          <w:szCs w:val="24"/>
        </w:rPr>
        <w:t xml:space="preserve"> </w:t>
      </w:r>
      <w:r>
        <w:rPr>
          <w:rFonts w:cs="Times New Roman"/>
          <w:noProof/>
          <w:sz w:val="20"/>
          <w:szCs w:val="24"/>
        </w:rPr>
        <w:t>How Are Gastrointestinal Carcinoid Tumors Diagnosed?</w:t>
      </w:r>
      <w:r>
        <w:rPr>
          <w:rFonts w:cs="Times New Roman"/>
          <w:sz w:val="20"/>
          <w:szCs w:val="24"/>
        </w:rPr>
        <w:t xml:space="preserve"> </w:t>
      </w:r>
      <w:r>
        <w:rPr>
          <w:rFonts w:cs="Times New Roman"/>
          <w:noProof/>
          <w:sz w:val="20"/>
          <w:szCs w:val="24"/>
        </w:rPr>
        <w:t>Available at:</w:t>
      </w:r>
      <w:r>
        <w:rPr>
          <w:rFonts w:cs="Times New Roman"/>
          <w:sz w:val="20"/>
          <w:szCs w:val="24"/>
        </w:rPr>
        <w:t xml:space="preserve"> </w:t>
      </w:r>
      <w:hyperlink r:id="rId14" w:history="1">
        <w:r>
          <w:rPr>
            <w:rStyle w:val="Hyperlink"/>
            <w:noProof/>
            <w:sz w:val="20"/>
            <w:szCs w:val="24"/>
          </w:rPr>
          <w:t>http://www.cancer.org/docroot/cri/content/cri_2_4_3x_how_is_gastrointestinal_carcinoid_tumors_diagnosed_14.asp</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p>
    <w:p w:rsidR="007C7592" w:rsidRPr="00C31DF9" w:rsidRDefault="007C7592" w:rsidP="00C31DF9">
      <w:pPr>
        <w:numPr>
          <w:ilvl w:val="0"/>
          <w:numId w:val="11"/>
        </w:numPr>
        <w:spacing w:before="120"/>
        <w:ind w:left="360"/>
        <w:rPr>
          <w:rFonts w:cs="Times New Roman"/>
          <w:sz w:val="20"/>
          <w:szCs w:val="24"/>
        </w:rPr>
      </w:pPr>
      <w:r>
        <w:rPr>
          <w:rFonts w:cs="Times New Roman"/>
          <w:noProof/>
          <w:sz w:val="20"/>
          <w:szCs w:val="24"/>
        </w:rPr>
        <w:t>American Cancer Society.</w:t>
      </w:r>
      <w:r>
        <w:rPr>
          <w:rFonts w:cs="Times New Roman"/>
          <w:sz w:val="20"/>
          <w:szCs w:val="24"/>
        </w:rPr>
        <w:t xml:space="preserve"> </w:t>
      </w:r>
      <w:r>
        <w:rPr>
          <w:rFonts w:cs="Times New Roman"/>
          <w:noProof/>
          <w:sz w:val="20"/>
          <w:szCs w:val="24"/>
        </w:rPr>
        <w:t>How Are Gastrointestinal Carcinoid Tumors Treated?</w:t>
      </w:r>
      <w:r>
        <w:rPr>
          <w:rFonts w:cs="Times New Roman"/>
          <w:sz w:val="20"/>
          <w:szCs w:val="24"/>
        </w:rPr>
        <w:t xml:space="preserve"> </w:t>
      </w:r>
      <w:r>
        <w:rPr>
          <w:rFonts w:cs="Times New Roman"/>
          <w:noProof/>
          <w:sz w:val="20"/>
          <w:szCs w:val="24"/>
        </w:rPr>
        <w:t>Available at:</w:t>
      </w:r>
      <w:r>
        <w:rPr>
          <w:rFonts w:cs="Times New Roman"/>
          <w:sz w:val="20"/>
          <w:szCs w:val="24"/>
        </w:rPr>
        <w:t xml:space="preserve"> </w:t>
      </w:r>
      <w:hyperlink r:id="rId15" w:history="1">
        <w:r>
          <w:rPr>
            <w:rStyle w:val="Hyperlink"/>
            <w:noProof/>
            <w:sz w:val="20"/>
            <w:szCs w:val="24"/>
          </w:rPr>
          <w:t>http://www.cancer.org/docroot/CRI/content/CRI_2_4_4X_How_Are_Gastrointestinal_Carcinoid_Tumors_Treated_14.asp?rnav=cri</w:t>
        </w:r>
      </w:hyperlink>
      <w:r>
        <w:rPr>
          <w:rFonts w:cs="Times New Roman"/>
          <w:noProof/>
          <w:sz w:val="20"/>
          <w:szCs w:val="24"/>
        </w:rPr>
        <w:t>.</w:t>
      </w:r>
      <w:r>
        <w:rPr>
          <w:rFonts w:cs="Times New Roman"/>
          <w:sz w:val="20"/>
          <w:szCs w:val="24"/>
        </w:rPr>
        <w:t xml:space="preserve"> </w:t>
      </w:r>
      <w:r>
        <w:rPr>
          <w:rFonts w:cs="Times New Roman"/>
          <w:noProof/>
          <w:sz w:val="20"/>
          <w:szCs w:val="24"/>
        </w:rPr>
        <w:t>Accessed June 2010.</w:t>
      </w:r>
      <w:r>
        <w:rPr>
          <w:rFonts w:cs="Times New Roman"/>
          <w:sz w:val="20"/>
          <w:szCs w:val="24"/>
        </w:rPr>
        <w:t xml:space="preserve"> </w:t>
      </w:r>
    </w:p>
    <w:sectPr w:rsidR="007C7592" w:rsidRPr="00C31DF9" w:rsidSect="00DE33FB">
      <w:pgSz w:w="11907" w:h="16839" w:code="9"/>
      <w:pgMar w:top="864" w:right="1440" w:bottom="1008"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8F3" w:rsidRDefault="009C18F3">
      <w:pPr>
        <w:rPr>
          <w:rFonts w:cs="Times New Roman"/>
          <w:szCs w:val="24"/>
        </w:rPr>
      </w:pPr>
      <w:r>
        <w:rPr>
          <w:rFonts w:cs="Times New Roman"/>
          <w:szCs w:val="24"/>
        </w:rPr>
        <w:separator/>
      </w:r>
    </w:p>
  </w:endnote>
  <w:endnote w:type="continuationSeparator" w:id="0">
    <w:p w:rsidR="009C18F3" w:rsidRDefault="009C18F3">
      <w:pPr>
        <w:rPr>
          <w:rFonts w:cs="Times New Roman"/>
          <w:szCs w:val="24"/>
        </w:rPr>
      </w:pPr>
      <w:r>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8F3" w:rsidRDefault="009C18F3">
      <w:pPr>
        <w:rPr>
          <w:rFonts w:cs="Times New Roman"/>
          <w:szCs w:val="24"/>
        </w:rPr>
      </w:pPr>
      <w:r>
        <w:rPr>
          <w:rFonts w:cs="Times New Roman"/>
          <w:szCs w:val="24"/>
        </w:rPr>
        <w:separator/>
      </w:r>
    </w:p>
  </w:footnote>
  <w:footnote w:type="continuationSeparator" w:id="0">
    <w:p w:rsidR="009C18F3" w:rsidRDefault="009C18F3">
      <w:pPr>
        <w:rPr>
          <w:rFonts w:cs="Times New Roman"/>
          <w:szCs w:val="24"/>
        </w:rPr>
      </w:pPr>
      <w:r>
        <w:rPr>
          <w:rFonts w:cs="Times New Roman"/>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C8D"/>
    <w:multiLevelType w:val="hybridMultilevel"/>
    <w:tmpl w:val="11A2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C87BD9"/>
    <w:multiLevelType w:val="hybridMultilevel"/>
    <w:tmpl w:val="FEBE57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3902D3D"/>
    <w:multiLevelType w:val="hybridMultilevel"/>
    <w:tmpl w:val="5DC2448C"/>
    <w:lvl w:ilvl="0" w:tplc="93A0EB08">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color w:val="A7316E"/>
        <w:sz w:val="20"/>
        <w:u w:val="none"/>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6AC4911"/>
    <w:multiLevelType w:val="hybridMultilevel"/>
    <w:tmpl w:val="EEAA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4A3126"/>
    <w:multiLevelType w:val="hybridMultilevel"/>
    <w:tmpl w:val="FCB0B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470D7D56"/>
    <w:multiLevelType w:val="hybridMultilevel"/>
    <w:tmpl w:val="0D4ED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8BB7DAA"/>
    <w:multiLevelType w:val="hybridMultilevel"/>
    <w:tmpl w:val="914A63A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A805394"/>
    <w:multiLevelType w:val="hybridMultilevel"/>
    <w:tmpl w:val="1730D664"/>
    <w:lvl w:ilvl="0" w:tplc="FCC0E3BA">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53924030"/>
    <w:multiLevelType w:val="hybridMultilevel"/>
    <w:tmpl w:val="53320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5044A21"/>
    <w:multiLevelType w:val="hybridMultilevel"/>
    <w:tmpl w:val="30D262DE"/>
    <w:lvl w:ilvl="0" w:tplc="0409000F">
      <w:start w:val="1"/>
      <w:numFmt w:val="decimal"/>
      <w:lvlText w:val="%1."/>
      <w:lvlJc w:val="left"/>
      <w:pPr>
        <w:tabs>
          <w:tab w:val="num" w:pos="720"/>
        </w:tabs>
        <w:ind w:left="720" w:hanging="360"/>
      </w:pPr>
      <w:rPr>
        <w:rFonts w:cs="Times New Roman" w:hint="default"/>
        <w:i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FA1DE3"/>
    <w:multiLevelType w:val="hybridMultilevel"/>
    <w:tmpl w:val="6E5C2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34E643B"/>
    <w:multiLevelType w:val="hybridMultilevel"/>
    <w:tmpl w:val="0A863AA6"/>
    <w:lvl w:ilvl="0" w:tplc="FCC0E3BA">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A022280"/>
    <w:multiLevelType w:val="hybridMultilevel"/>
    <w:tmpl w:val="772C70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8"/>
  </w:num>
  <w:num w:numId="6">
    <w:abstractNumId w:val="0"/>
  </w:num>
  <w:num w:numId="7">
    <w:abstractNumId w:val="3"/>
  </w:num>
  <w:num w:numId="8">
    <w:abstractNumId w:val="9"/>
  </w:num>
  <w:num w:numId="9">
    <w:abstractNumId w:val="7"/>
  </w:num>
  <w:num w:numId="10">
    <w:abstractNumId w:val="11"/>
  </w:num>
  <w:num w:numId="11">
    <w:abstractNumId w:val="1"/>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urn:schemas-microsoft-com:office:smarttags"/>
  </w:docVars>
  <w:rsids>
    <w:rsidRoot w:val="00E56664"/>
    <w:rsid w:val="00004A99"/>
    <w:rsid w:val="00011D15"/>
    <w:rsid w:val="000127BF"/>
    <w:rsid w:val="0001332C"/>
    <w:rsid w:val="00021933"/>
    <w:rsid w:val="00044900"/>
    <w:rsid w:val="00050F29"/>
    <w:rsid w:val="000513A9"/>
    <w:rsid w:val="0006461E"/>
    <w:rsid w:val="00064EF4"/>
    <w:rsid w:val="000739CE"/>
    <w:rsid w:val="00082B89"/>
    <w:rsid w:val="00092D23"/>
    <w:rsid w:val="000A0E0A"/>
    <w:rsid w:val="000A7359"/>
    <w:rsid w:val="000A7951"/>
    <w:rsid w:val="000B069C"/>
    <w:rsid w:val="000B1618"/>
    <w:rsid w:val="000D672D"/>
    <w:rsid w:val="000E40C0"/>
    <w:rsid w:val="000F5F2D"/>
    <w:rsid w:val="0010472E"/>
    <w:rsid w:val="001072C3"/>
    <w:rsid w:val="00121F02"/>
    <w:rsid w:val="00123395"/>
    <w:rsid w:val="0012637C"/>
    <w:rsid w:val="00130AE2"/>
    <w:rsid w:val="00140604"/>
    <w:rsid w:val="001439FD"/>
    <w:rsid w:val="001A27BB"/>
    <w:rsid w:val="001A49F8"/>
    <w:rsid w:val="001B21E6"/>
    <w:rsid w:val="001B38DC"/>
    <w:rsid w:val="001B4ABE"/>
    <w:rsid w:val="001C2787"/>
    <w:rsid w:val="001D03CA"/>
    <w:rsid w:val="001D571F"/>
    <w:rsid w:val="001E2D61"/>
    <w:rsid w:val="001F2831"/>
    <w:rsid w:val="001F5F4D"/>
    <w:rsid w:val="00205A35"/>
    <w:rsid w:val="002070DA"/>
    <w:rsid w:val="002122AE"/>
    <w:rsid w:val="00213B99"/>
    <w:rsid w:val="00216DA7"/>
    <w:rsid w:val="00222B83"/>
    <w:rsid w:val="00225BB9"/>
    <w:rsid w:val="00226270"/>
    <w:rsid w:val="00230193"/>
    <w:rsid w:val="002353EF"/>
    <w:rsid w:val="0025375C"/>
    <w:rsid w:val="002700C3"/>
    <w:rsid w:val="00272D38"/>
    <w:rsid w:val="00283F4B"/>
    <w:rsid w:val="002856CA"/>
    <w:rsid w:val="0029099B"/>
    <w:rsid w:val="002A397C"/>
    <w:rsid w:val="002A3D8A"/>
    <w:rsid w:val="002B302B"/>
    <w:rsid w:val="002C20BA"/>
    <w:rsid w:val="002D2012"/>
    <w:rsid w:val="002E54C9"/>
    <w:rsid w:val="002F54F2"/>
    <w:rsid w:val="00302F16"/>
    <w:rsid w:val="003036B7"/>
    <w:rsid w:val="00313577"/>
    <w:rsid w:val="00314942"/>
    <w:rsid w:val="00317FE3"/>
    <w:rsid w:val="00320F7C"/>
    <w:rsid w:val="00356D6B"/>
    <w:rsid w:val="003775BC"/>
    <w:rsid w:val="00383BCD"/>
    <w:rsid w:val="00386A4E"/>
    <w:rsid w:val="00394F06"/>
    <w:rsid w:val="003C13B4"/>
    <w:rsid w:val="003D52EB"/>
    <w:rsid w:val="003E32F6"/>
    <w:rsid w:val="003F6A49"/>
    <w:rsid w:val="0040716D"/>
    <w:rsid w:val="004148EE"/>
    <w:rsid w:val="0042451C"/>
    <w:rsid w:val="004274BE"/>
    <w:rsid w:val="00430225"/>
    <w:rsid w:val="004368E2"/>
    <w:rsid w:val="00436E3C"/>
    <w:rsid w:val="0043712E"/>
    <w:rsid w:val="00441245"/>
    <w:rsid w:val="004457CC"/>
    <w:rsid w:val="004550E3"/>
    <w:rsid w:val="00467365"/>
    <w:rsid w:val="004673E0"/>
    <w:rsid w:val="00470260"/>
    <w:rsid w:val="004712AF"/>
    <w:rsid w:val="00477F73"/>
    <w:rsid w:val="00481CE0"/>
    <w:rsid w:val="004A74BC"/>
    <w:rsid w:val="004C626C"/>
    <w:rsid w:val="004C791E"/>
    <w:rsid w:val="004D5FDB"/>
    <w:rsid w:val="004D7D78"/>
    <w:rsid w:val="004E16A0"/>
    <w:rsid w:val="004E4224"/>
    <w:rsid w:val="004E7724"/>
    <w:rsid w:val="0050101E"/>
    <w:rsid w:val="005043BA"/>
    <w:rsid w:val="005050B3"/>
    <w:rsid w:val="00507FD4"/>
    <w:rsid w:val="00516653"/>
    <w:rsid w:val="00536FF6"/>
    <w:rsid w:val="00551B72"/>
    <w:rsid w:val="005705ED"/>
    <w:rsid w:val="005744CC"/>
    <w:rsid w:val="00574A37"/>
    <w:rsid w:val="005916A1"/>
    <w:rsid w:val="005921C8"/>
    <w:rsid w:val="005972B1"/>
    <w:rsid w:val="005A7F98"/>
    <w:rsid w:val="005B4ECA"/>
    <w:rsid w:val="005C1CCB"/>
    <w:rsid w:val="005D237A"/>
    <w:rsid w:val="005D4948"/>
    <w:rsid w:val="005D4E6F"/>
    <w:rsid w:val="005E4D53"/>
    <w:rsid w:val="005E6C9F"/>
    <w:rsid w:val="005F1A53"/>
    <w:rsid w:val="005F69D5"/>
    <w:rsid w:val="00606CA0"/>
    <w:rsid w:val="0062159F"/>
    <w:rsid w:val="00621FAA"/>
    <w:rsid w:val="00636503"/>
    <w:rsid w:val="00640438"/>
    <w:rsid w:val="00644D60"/>
    <w:rsid w:val="00652669"/>
    <w:rsid w:val="00652E0D"/>
    <w:rsid w:val="006577B2"/>
    <w:rsid w:val="0066462F"/>
    <w:rsid w:val="00675540"/>
    <w:rsid w:val="00684C6C"/>
    <w:rsid w:val="00685131"/>
    <w:rsid w:val="00693C4D"/>
    <w:rsid w:val="006A719F"/>
    <w:rsid w:val="006B7919"/>
    <w:rsid w:val="006D7905"/>
    <w:rsid w:val="006F721A"/>
    <w:rsid w:val="0072268B"/>
    <w:rsid w:val="00733000"/>
    <w:rsid w:val="0074265D"/>
    <w:rsid w:val="00753D24"/>
    <w:rsid w:val="00761ADA"/>
    <w:rsid w:val="007918CA"/>
    <w:rsid w:val="007963D1"/>
    <w:rsid w:val="007979BB"/>
    <w:rsid w:val="007A6B86"/>
    <w:rsid w:val="007A6E9B"/>
    <w:rsid w:val="007B256D"/>
    <w:rsid w:val="007B43AC"/>
    <w:rsid w:val="007C7592"/>
    <w:rsid w:val="007D00A7"/>
    <w:rsid w:val="007D0841"/>
    <w:rsid w:val="007E0716"/>
    <w:rsid w:val="007F0547"/>
    <w:rsid w:val="007F0FC4"/>
    <w:rsid w:val="007F269D"/>
    <w:rsid w:val="007F5BC0"/>
    <w:rsid w:val="0080188A"/>
    <w:rsid w:val="00802A7C"/>
    <w:rsid w:val="00810D6B"/>
    <w:rsid w:val="00831CDA"/>
    <w:rsid w:val="00845F5C"/>
    <w:rsid w:val="0085490A"/>
    <w:rsid w:val="00854A0B"/>
    <w:rsid w:val="00855508"/>
    <w:rsid w:val="00860BDD"/>
    <w:rsid w:val="00862910"/>
    <w:rsid w:val="008652DC"/>
    <w:rsid w:val="0087614F"/>
    <w:rsid w:val="00876FDF"/>
    <w:rsid w:val="008775DE"/>
    <w:rsid w:val="00880C6A"/>
    <w:rsid w:val="00882054"/>
    <w:rsid w:val="00892D77"/>
    <w:rsid w:val="008B0E62"/>
    <w:rsid w:val="008B4417"/>
    <w:rsid w:val="008B62EF"/>
    <w:rsid w:val="008C6BD9"/>
    <w:rsid w:val="008D564F"/>
    <w:rsid w:val="008D5C1C"/>
    <w:rsid w:val="008F5C0A"/>
    <w:rsid w:val="008F6777"/>
    <w:rsid w:val="00907212"/>
    <w:rsid w:val="009135A7"/>
    <w:rsid w:val="00920EE9"/>
    <w:rsid w:val="0093042D"/>
    <w:rsid w:val="00935979"/>
    <w:rsid w:val="00947355"/>
    <w:rsid w:val="009625E8"/>
    <w:rsid w:val="009662F3"/>
    <w:rsid w:val="009674F1"/>
    <w:rsid w:val="009743DE"/>
    <w:rsid w:val="00977AAE"/>
    <w:rsid w:val="0099225C"/>
    <w:rsid w:val="00993727"/>
    <w:rsid w:val="009A41E3"/>
    <w:rsid w:val="009B2DDB"/>
    <w:rsid w:val="009B2DDC"/>
    <w:rsid w:val="009C18F3"/>
    <w:rsid w:val="009C36EA"/>
    <w:rsid w:val="009D4BF5"/>
    <w:rsid w:val="009E211D"/>
    <w:rsid w:val="00A03A3C"/>
    <w:rsid w:val="00A15AFC"/>
    <w:rsid w:val="00A2316E"/>
    <w:rsid w:val="00A27199"/>
    <w:rsid w:val="00A374D1"/>
    <w:rsid w:val="00A37DD2"/>
    <w:rsid w:val="00A44E64"/>
    <w:rsid w:val="00A61756"/>
    <w:rsid w:val="00A61A16"/>
    <w:rsid w:val="00A62E6C"/>
    <w:rsid w:val="00A65F1D"/>
    <w:rsid w:val="00A71D7E"/>
    <w:rsid w:val="00A73678"/>
    <w:rsid w:val="00A8426A"/>
    <w:rsid w:val="00A90C4A"/>
    <w:rsid w:val="00AA2780"/>
    <w:rsid w:val="00AB0E62"/>
    <w:rsid w:val="00AB475D"/>
    <w:rsid w:val="00AE3998"/>
    <w:rsid w:val="00AE6D08"/>
    <w:rsid w:val="00AF5837"/>
    <w:rsid w:val="00AF5FCE"/>
    <w:rsid w:val="00B034FB"/>
    <w:rsid w:val="00B052CA"/>
    <w:rsid w:val="00B05E56"/>
    <w:rsid w:val="00B235DD"/>
    <w:rsid w:val="00B2689E"/>
    <w:rsid w:val="00B27A86"/>
    <w:rsid w:val="00B332D7"/>
    <w:rsid w:val="00B40522"/>
    <w:rsid w:val="00B46C8C"/>
    <w:rsid w:val="00B579C4"/>
    <w:rsid w:val="00B643CD"/>
    <w:rsid w:val="00B71302"/>
    <w:rsid w:val="00B846E2"/>
    <w:rsid w:val="00B92676"/>
    <w:rsid w:val="00B95164"/>
    <w:rsid w:val="00BA3C54"/>
    <w:rsid w:val="00BA56F0"/>
    <w:rsid w:val="00BB14FD"/>
    <w:rsid w:val="00BB1CEA"/>
    <w:rsid w:val="00BB7B18"/>
    <w:rsid w:val="00BC53EC"/>
    <w:rsid w:val="00BC7FD4"/>
    <w:rsid w:val="00BE6F47"/>
    <w:rsid w:val="00BF57BE"/>
    <w:rsid w:val="00BF779E"/>
    <w:rsid w:val="00C0788B"/>
    <w:rsid w:val="00C10DA4"/>
    <w:rsid w:val="00C132BB"/>
    <w:rsid w:val="00C31DF9"/>
    <w:rsid w:val="00C3360B"/>
    <w:rsid w:val="00C40510"/>
    <w:rsid w:val="00C46D1F"/>
    <w:rsid w:val="00C506A9"/>
    <w:rsid w:val="00C772B4"/>
    <w:rsid w:val="00C77D7F"/>
    <w:rsid w:val="00C848B0"/>
    <w:rsid w:val="00C87A46"/>
    <w:rsid w:val="00C93625"/>
    <w:rsid w:val="00CA04F4"/>
    <w:rsid w:val="00CA14E3"/>
    <w:rsid w:val="00CB1D9E"/>
    <w:rsid w:val="00CB5590"/>
    <w:rsid w:val="00CC58A9"/>
    <w:rsid w:val="00CD60A1"/>
    <w:rsid w:val="00CD6FB0"/>
    <w:rsid w:val="00CE4D03"/>
    <w:rsid w:val="00CF7E56"/>
    <w:rsid w:val="00D05FCC"/>
    <w:rsid w:val="00D31F1A"/>
    <w:rsid w:val="00D417E2"/>
    <w:rsid w:val="00D428C2"/>
    <w:rsid w:val="00D468B5"/>
    <w:rsid w:val="00D56FF0"/>
    <w:rsid w:val="00D66513"/>
    <w:rsid w:val="00D75FDC"/>
    <w:rsid w:val="00D842F7"/>
    <w:rsid w:val="00D873B4"/>
    <w:rsid w:val="00DA504C"/>
    <w:rsid w:val="00DA69A7"/>
    <w:rsid w:val="00DB37B3"/>
    <w:rsid w:val="00DC63CF"/>
    <w:rsid w:val="00DC768B"/>
    <w:rsid w:val="00DD339D"/>
    <w:rsid w:val="00DD59BF"/>
    <w:rsid w:val="00DE11D7"/>
    <w:rsid w:val="00DE2C8B"/>
    <w:rsid w:val="00DE3238"/>
    <w:rsid w:val="00DE33FB"/>
    <w:rsid w:val="00DE64D9"/>
    <w:rsid w:val="00DF1A65"/>
    <w:rsid w:val="00DF2D7E"/>
    <w:rsid w:val="00E053B9"/>
    <w:rsid w:val="00E172FC"/>
    <w:rsid w:val="00E24C33"/>
    <w:rsid w:val="00E251FF"/>
    <w:rsid w:val="00E30027"/>
    <w:rsid w:val="00E32ADF"/>
    <w:rsid w:val="00E3439B"/>
    <w:rsid w:val="00E37788"/>
    <w:rsid w:val="00E410D0"/>
    <w:rsid w:val="00E54643"/>
    <w:rsid w:val="00E56664"/>
    <w:rsid w:val="00E63FE9"/>
    <w:rsid w:val="00E645D8"/>
    <w:rsid w:val="00E659A1"/>
    <w:rsid w:val="00E661F5"/>
    <w:rsid w:val="00E71479"/>
    <w:rsid w:val="00E76086"/>
    <w:rsid w:val="00E80859"/>
    <w:rsid w:val="00E823AB"/>
    <w:rsid w:val="00E8568B"/>
    <w:rsid w:val="00E86E63"/>
    <w:rsid w:val="00E905CF"/>
    <w:rsid w:val="00E91D82"/>
    <w:rsid w:val="00E9598B"/>
    <w:rsid w:val="00EA04C3"/>
    <w:rsid w:val="00EA2E91"/>
    <w:rsid w:val="00EA447D"/>
    <w:rsid w:val="00EB0212"/>
    <w:rsid w:val="00EB78EA"/>
    <w:rsid w:val="00EC1522"/>
    <w:rsid w:val="00EC1608"/>
    <w:rsid w:val="00EF05BA"/>
    <w:rsid w:val="00EF0677"/>
    <w:rsid w:val="00EF1F86"/>
    <w:rsid w:val="00F03287"/>
    <w:rsid w:val="00F07D18"/>
    <w:rsid w:val="00F30E3A"/>
    <w:rsid w:val="00F43CFF"/>
    <w:rsid w:val="00F55869"/>
    <w:rsid w:val="00F624F6"/>
    <w:rsid w:val="00F93322"/>
    <w:rsid w:val="00F94EBC"/>
    <w:rsid w:val="00F95906"/>
    <w:rsid w:val="00FA2275"/>
    <w:rsid w:val="00FB6F4F"/>
    <w:rsid w:val="00FC1844"/>
    <w:rsid w:val="00FC4097"/>
    <w:rsid w:val="00FD30D5"/>
    <w:rsid w:val="00FD4DCF"/>
    <w:rsid w:val="00FF1613"/>
    <w:rsid w:val="00FF376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6"/>
    <w:qFormat/>
    <w:rsid w:val="00DE33FB"/>
    <w:pPr>
      <w:spacing w:before="200"/>
      <w:jc w:val="both"/>
    </w:pPr>
    <w:rPr>
      <w:rFonts w:ascii="Arial" w:hAnsi="Arial" w:cs="Arial"/>
      <w:snapToGrid w:val="0"/>
      <w:sz w:val="22"/>
      <w:szCs w:val="22"/>
      <w:lang w:val="en-US"/>
    </w:rPr>
  </w:style>
  <w:style w:type="paragraph" w:styleId="Heading1">
    <w:name w:val="heading 1"/>
    <w:basedOn w:val="Normal"/>
    <w:next w:val="Normal"/>
    <w:link w:val="Hyperlink"/>
    <w:qFormat/>
    <w:rsid w:val="00DE33FB"/>
    <w:pPr>
      <w:framePr w:hSpace="180" w:wrap="auto" w:vAnchor="text" w:hAnchor="margin" w:y="240"/>
      <w:spacing w:before="0"/>
      <w:outlineLvl w:val="0"/>
    </w:pPr>
    <w:rPr>
      <w:b/>
      <w:color w:val="FFFFFF"/>
      <w:sz w:val="28"/>
    </w:rPr>
  </w:style>
  <w:style w:type="paragraph" w:styleId="Heading2">
    <w:name w:val="heading 2"/>
    <w:basedOn w:val="Normal"/>
    <w:next w:val="Normal"/>
    <w:link w:val="Heading2Char1"/>
    <w:qFormat/>
    <w:rsid w:val="00DE33FB"/>
    <w:pPr>
      <w:outlineLvl w:val="1"/>
    </w:pPr>
    <w:rPr>
      <w:b/>
      <w:color w:val="A731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ocked/>
    <w:rsid w:val="00DE33FB"/>
    <w:rPr>
      <w:rFonts w:ascii="Arial" w:hAnsi="Arial" w:cs="Arial"/>
      <w:b/>
      <w:color w:val="A7316E"/>
      <w:sz w:val="22"/>
      <w:szCs w:val="22"/>
    </w:rPr>
  </w:style>
  <w:style w:type="paragraph" w:styleId="Header">
    <w:name w:val="header"/>
    <w:basedOn w:val="Normal"/>
    <w:link w:val="CommentReference"/>
    <w:rsid w:val="00DE33FB"/>
    <w:pPr>
      <w:tabs>
        <w:tab w:val="center" w:pos="4680"/>
        <w:tab w:val="right" w:pos="9360"/>
      </w:tabs>
    </w:pPr>
  </w:style>
  <w:style w:type="character" w:customStyle="1" w:styleId="HeaderChar">
    <w:name w:val="Header Char"/>
    <w:basedOn w:val="DefaultParagraphFont"/>
    <w:locked/>
    <w:rsid w:val="00DE33FB"/>
    <w:rPr>
      <w:rFonts w:ascii="Times New Roman" w:hAnsi="Times New Roman" w:cs="Times New Roman"/>
      <w:sz w:val="24"/>
      <w:szCs w:val="24"/>
    </w:rPr>
  </w:style>
  <w:style w:type="paragraph" w:styleId="Footer">
    <w:name w:val="footer"/>
    <w:basedOn w:val="Normal"/>
    <w:link w:val="FooterChar1"/>
    <w:rsid w:val="00DE33FB"/>
    <w:pPr>
      <w:tabs>
        <w:tab w:val="center" w:pos="4680"/>
        <w:tab w:val="right" w:pos="9360"/>
      </w:tabs>
    </w:pPr>
  </w:style>
  <w:style w:type="character" w:customStyle="1" w:styleId="FooterChar">
    <w:name w:val="Footer Char"/>
    <w:basedOn w:val="DefaultParagraphFont"/>
    <w:locked/>
    <w:rsid w:val="00DE33FB"/>
    <w:rPr>
      <w:rFonts w:ascii="Times New Roman" w:hAnsi="Times New Roman" w:cs="Times New Roman"/>
      <w:sz w:val="24"/>
      <w:szCs w:val="24"/>
    </w:rPr>
  </w:style>
  <w:style w:type="table" w:styleId="TableGrid">
    <w:name w:val="Table Grid"/>
    <w:basedOn w:val="TableNormal"/>
    <w:link w:val="BalloonText"/>
    <w:rsid w:val="00DE33FB"/>
    <w:rPr>
      <w:snapToGrid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ocked/>
    <w:rsid w:val="00DE33FB"/>
    <w:rPr>
      <w:rFonts w:ascii="Arial" w:hAnsi="Arial" w:cs="Arial"/>
      <w:b/>
      <w:color w:val="FFFFFF"/>
      <w:sz w:val="22"/>
      <w:szCs w:val="22"/>
    </w:rPr>
  </w:style>
  <w:style w:type="paragraph" w:styleId="BodyText3">
    <w:name w:val="Body Text 3"/>
    <w:basedOn w:val="Normal"/>
    <w:semiHidden/>
    <w:rsid w:val="00DE33FB"/>
    <w:pPr>
      <w:framePr w:hSpace="180" w:wrap="auto" w:vAnchor="text" w:hAnchor="margin" w:y="-35"/>
      <w:jc w:val="center"/>
    </w:pPr>
    <w:rPr>
      <w:sz w:val="20"/>
    </w:rPr>
  </w:style>
  <w:style w:type="character" w:customStyle="1" w:styleId="CharChar6">
    <w:name w:val="Char Char6"/>
    <w:basedOn w:val="DefaultParagraphFont"/>
    <w:semiHidden/>
    <w:locked/>
    <w:rsid w:val="00DE33FB"/>
    <w:rPr>
      <w:rFonts w:ascii="Arial" w:hAnsi="Arial" w:cs="Arial"/>
      <w:sz w:val="24"/>
      <w:szCs w:val="24"/>
    </w:rPr>
  </w:style>
  <w:style w:type="paragraph" w:styleId="BodyText">
    <w:name w:val="Body Text"/>
    <w:basedOn w:val="Normal"/>
    <w:link w:val="BodyTextChar"/>
    <w:semiHidden/>
    <w:rsid w:val="00DE33FB"/>
    <w:pPr>
      <w:spacing w:after="120"/>
    </w:pPr>
  </w:style>
  <w:style w:type="character" w:customStyle="1" w:styleId="Heading2Char1">
    <w:name w:val="Heading 2 Char1"/>
    <w:basedOn w:val="DefaultParagraphFont"/>
    <w:link w:val="Heading2"/>
    <w:semiHidden/>
    <w:locked/>
    <w:rsid w:val="00DE33FB"/>
    <w:rPr>
      <w:rFonts w:ascii="Times New Roman" w:hAnsi="Times New Roman" w:cs="Times New Roman"/>
      <w:sz w:val="24"/>
      <w:szCs w:val="24"/>
    </w:rPr>
  </w:style>
  <w:style w:type="paragraph" w:styleId="ListParagraph">
    <w:name w:val="List Paragraph"/>
    <w:basedOn w:val="Normal"/>
    <w:qFormat/>
    <w:rsid w:val="00DE33FB"/>
    <w:pPr>
      <w:spacing w:after="200" w:line="276" w:lineRule="auto"/>
      <w:ind w:left="720"/>
    </w:pPr>
    <w:rPr>
      <w:rFonts w:ascii="Times New Roman" w:hAnsi="Times New Roman"/>
    </w:rPr>
  </w:style>
  <w:style w:type="paragraph" w:styleId="BalloonText">
    <w:name w:val="Balloon Text"/>
    <w:aliases w:val=" Char Char4"/>
    <w:basedOn w:val="Normal"/>
    <w:link w:val="FooterChar1"/>
    <w:semiHidden/>
    <w:rsid w:val="00DE33FB"/>
    <w:rPr>
      <w:rFonts w:ascii="Times New Roman" w:hAnsi="Times New Roman" w:cs="Times New Roman"/>
      <w:sz w:val="16"/>
      <w:szCs w:val="16"/>
    </w:rPr>
  </w:style>
  <w:style w:type="character" w:customStyle="1" w:styleId="BalloonTextChar">
    <w:name w:val="Balloon Text Char"/>
    <w:basedOn w:val="DefaultParagraphFont"/>
    <w:link w:val="Footer"/>
    <w:semiHidden/>
    <w:locked/>
    <w:rsid w:val="00DE33FB"/>
    <w:rPr>
      <w:rFonts w:ascii="Times New Roman" w:hAnsi="Times New Roman" w:cs="Times New Roman"/>
      <w:sz w:val="16"/>
      <w:szCs w:val="16"/>
    </w:rPr>
  </w:style>
  <w:style w:type="character" w:styleId="CommentReference">
    <w:name w:val="annotation reference"/>
    <w:aliases w:val="Header Char1"/>
    <w:basedOn w:val="DefaultParagraphFont"/>
    <w:link w:val="Header"/>
    <w:semiHidden/>
    <w:rsid w:val="00DE33FB"/>
    <w:rPr>
      <w:rFonts w:cs="Times New Roman"/>
      <w:sz w:val="16"/>
      <w:szCs w:val="16"/>
    </w:rPr>
  </w:style>
  <w:style w:type="paragraph" w:styleId="CommentText">
    <w:name w:val="annotation text"/>
    <w:basedOn w:val="Normal"/>
    <w:semiHidden/>
    <w:rsid w:val="00DE33FB"/>
    <w:rPr>
      <w:sz w:val="20"/>
      <w:szCs w:val="20"/>
    </w:rPr>
  </w:style>
  <w:style w:type="character" w:customStyle="1" w:styleId="BodyTextChar">
    <w:name w:val="Body Text Char"/>
    <w:basedOn w:val="DefaultParagraphFont"/>
    <w:link w:val="BodyText"/>
    <w:semiHidden/>
    <w:locked/>
    <w:rsid w:val="00DE33FB"/>
    <w:rPr>
      <w:rFonts w:ascii="Times New Roman" w:hAnsi="Times New Roman" w:cs="Times New Roman"/>
    </w:rPr>
  </w:style>
  <w:style w:type="paragraph" w:styleId="CommentSubject">
    <w:name w:val="annotation subject"/>
    <w:basedOn w:val="CommentText"/>
    <w:next w:val="CommentText"/>
    <w:semiHidden/>
    <w:rsid w:val="00DE33FB"/>
    <w:rPr>
      <w:b/>
      <w:bCs/>
    </w:rPr>
  </w:style>
  <w:style w:type="character" w:customStyle="1" w:styleId="FooterChar1">
    <w:name w:val="Footer Char1"/>
    <w:basedOn w:val="BodyTextChar"/>
    <w:link w:val="BalloonText"/>
    <w:semiHidden/>
    <w:locked/>
    <w:rsid w:val="00DE33FB"/>
    <w:rPr>
      <w:b/>
      <w:bCs/>
    </w:rPr>
  </w:style>
  <w:style w:type="paragraph" w:styleId="NormalWeb">
    <w:name w:val="Normal (Web)"/>
    <w:basedOn w:val="Normal"/>
    <w:semiHidden/>
    <w:rsid w:val="00DE33FB"/>
    <w:pPr>
      <w:spacing w:before="240" w:after="240"/>
    </w:pPr>
    <w:rPr>
      <w:rFonts w:ascii="Times New Roman" w:hAnsi="Times New Roman"/>
    </w:rPr>
  </w:style>
  <w:style w:type="character" w:styleId="Strong">
    <w:name w:val="Strong"/>
    <w:basedOn w:val="DefaultParagraphFont"/>
    <w:qFormat/>
    <w:rsid w:val="00DE33FB"/>
    <w:rPr>
      <w:rFonts w:cs="Times New Roman"/>
      <w:b/>
      <w:bCs/>
    </w:rPr>
  </w:style>
  <w:style w:type="paragraph" w:customStyle="1" w:styleId="Default">
    <w:name w:val="Default"/>
    <w:rsid w:val="00DE33FB"/>
    <w:pPr>
      <w:autoSpaceDE w:val="0"/>
      <w:autoSpaceDN w:val="0"/>
      <w:adjustRightInd w:val="0"/>
    </w:pPr>
    <w:rPr>
      <w:rFonts w:ascii="Arial" w:hAnsi="Arial"/>
      <w:snapToGrid w:val="0"/>
      <w:color w:val="000000"/>
      <w:sz w:val="24"/>
      <w:szCs w:val="24"/>
      <w:lang w:val="en-US"/>
    </w:rPr>
  </w:style>
  <w:style w:type="character" w:styleId="Hyperlink">
    <w:name w:val="Hyperlink"/>
    <w:aliases w:val="Heading 1 Char1"/>
    <w:basedOn w:val="DefaultParagraphFont"/>
    <w:link w:val="Heading1"/>
    <w:rsid w:val="00DE33FB"/>
    <w:rPr>
      <w:rFonts w:cs="Times New Roman"/>
      <w:color w:val="0000FF"/>
      <w:u w:val="single"/>
    </w:rPr>
  </w:style>
  <w:style w:type="character" w:styleId="FollowedHyperlink">
    <w:name w:val="FollowedHyperlink"/>
    <w:basedOn w:val="DefaultParagraphFont"/>
    <w:semiHidden/>
    <w:rsid w:val="00DE33FB"/>
    <w:rPr>
      <w:rFonts w:cs="Times New Roman"/>
      <w:color w:val="800080"/>
      <w:u w:val="single"/>
    </w:rPr>
  </w:style>
  <w:style w:type="character" w:customStyle="1" w:styleId="tw4winMark">
    <w:name w:val="tw4winMark"/>
    <w:rsid w:val="00DE33FB"/>
    <w:rPr>
      <w:rFonts w:ascii="Courier New" w:hAnsi="Courier New"/>
      <w:vanish/>
      <w:color w:val="800080"/>
      <w:vertAlign w:val="subscript"/>
    </w:rPr>
  </w:style>
  <w:style w:type="character" w:customStyle="1" w:styleId="tw4winError">
    <w:name w:val="tw4winError"/>
    <w:rsid w:val="00DE33FB"/>
    <w:rPr>
      <w:rFonts w:ascii="Courier New" w:hAnsi="Courier New"/>
      <w:color w:val="00FF00"/>
      <w:sz w:val="40"/>
    </w:rPr>
  </w:style>
  <w:style w:type="character" w:customStyle="1" w:styleId="tw4winTerm">
    <w:name w:val="tw4winTerm"/>
    <w:rsid w:val="00DE33FB"/>
    <w:rPr>
      <w:color w:val="0000FF"/>
    </w:rPr>
  </w:style>
  <w:style w:type="character" w:customStyle="1" w:styleId="tw4winPopup">
    <w:name w:val="tw4winPopup"/>
    <w:rsid w:val="00DE33FB"/>
    <w:rPr>
      <w:rFonts w:ascii="Courier New" w:hAnsi="Courier New"/>
      <w:noProof/>
      <w:color w:val="008000"/>
    </w:rPr>
  </w:style>
  <w:style w:type="character" w:customStyle="1" w:styleId="tw4winJump">
    <w:name w:val="tw4winJump"/>
    <w:rsid w:val="00DE33FB"/>
    <w:rPr>
      <w:rFonts w:ascii="Courier New" w:hAnsi="Courier New"/>
      <w:noProof/>
      <w:color w:val="008080"/>
    </w:rPr>
  </w:style>
  <w:style w:type="character" w:customStyle="1" w:styleId="tw4winExternal">
    <w:name w:val="tw4winExternal"/>
    <w:rsid w:val="00DE33FB"/>
    <w:rPr>
      <w:rFonts w:ascii="Courier New" w:hAnsi="Courier New"/>
      <w:noProof/>
      <w:color w:val="808080"/>
    </w:rPr>
  </w:style>
  <w:style w:type="character" w:customStyle="1" w:styleId="tw4winInternal">
    <w:name w:val="tw4winInternal"/>
    <w:rsid w:val="00DE33FB"/>
    <w:rPr>
      <w:rFonts w:ascii="Courier New" w:hAnsi="Courier New"/>
      <w:noProof/>
      <w:color w:val="FF0000"/>
    </w:rPr>
  </w:style>
  <w:style w:type="character" w:customStyle="1" w:styleId="DONOTTRANSLATE">
    <w:name w:val="DO_NOT_TRANSLATE"/>
    <w:rsid w:val="00DE33FB"/>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67"/>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cancerday.org" TargetMode="External"/><Relationship Id="rId13" Type="http://schemas.openxmlformats.org/officeDocument/2006/relationships/hyperlink" Target="http://www.interscienceinstitute.com/docs/Neuroendocrine-Tumors-4th-Editio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avcan-production.s3.amazonaws.com/document/32/attachment/Neuroendocrine_Tumor_Brochure.pdf?Signature=pcNI7hfiZ9kwjTEMcetQ73MwEOM%3D&amp;Expires=1275508240&amp;AWSAccessKeyId=AKIAIZUDLM6ICC6RC2F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m.nih.gov/medlineplus/ency/article/000393.htm" TargetMode="External"/><Relationship Id="rId5" Type="http://schemas.openxmlformats.org/officeDocument/2006/relationships/footnotes" Target="footnotes.xml"/><Relationship Id="rId15" Type="http://schemas.openxmlformats.org/officeDocument/2006/relationships/hyperlink" Target="http://www.cancer.org/docroot/CRI/content/CRI_2_4_4X_How_Are_Gastrointestinal_Carcinoid_Tumors_Treated_14.asp?rnav=cri" TargetMode="External"/><Relationship Id="rId10" Type="http://schemas.openxmlformats.org/officeDocument/2006/relationships/hyperlink" Target="http://www.cancer.org/docroot/CRI/content/CRI_2_4_1X_What_are_the_key_statistics_for_gastrointestinal_carcinoid_tumors_14.asp?rnav=cri" TargetMode="External"/><Relationship Id="rId4" Type="http://schemas.openxmlformats.org/officeDocument/2006/relationships/webSettings" Target="webSettings.xml"/><Relationship Id="rId9" Type="http://schemas.openxmlformats.org/officeDocument/2006/relationships/hyperlink" Target="http://www.cancer.gov/dictionary" TargetMode="External"/><Relationship Id="rId14" Type="http://schemas.openxmlformats.org/officeDocument/2006/relationships/hyperlink" Target="http://www.cancer.org/docroot/cri/content/cri_2_4_3x_how_is_gastrointestinal_carcinoid_tumors_diagnosed_14.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1153</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TUBEROUS SCLEROSIS FACT SHEET</vt:lpstr>
    </vt:vector>
  </TitlesOfParts>
  <Company>PASPARTU</Company>
  <LinksUpToDate>false</LinksUpToDate>
  <CharactersWithSpaces>7369</CharactersWithSpaces>
  <SharedDoc>false</SharedDoc>
  <HLinks>
    <vt:vector size="48" baseType="variant">
      <vt:variant>
        <vt:i4>524360</vt:i4>
      </vt:variant>
      <vt:variant>
        <vt:i4>21</vt:i4>
      </vt:variant>
      <vt:variant>
        <vt:i4>0</vt:i4>
      </vt:variant>
      <vt:variant>
        <vt:i4>5</vt:i4>
      </vt:variant>
      <vt:variant>
        <vt:lpwstr>http://www.cancer.org/docroot/CRI/content/CRI_2_4_4X_How_Are_Gastrointestinal_Carcinoid_Tumors_Treated_14.asp?rnav=cri</vt:lpwstr>
      </vt:variant>
      <vt:variant>
        <vt:lpwstr/>
      </vt:variant>
      <vt:variant>
        <vt:i4>2621565</vt:i4>
      </vt:variant>
      <vt:variant>
        <vt:i4>18</vt:i4>
      </vt:variant>
      <vt:variant>
        <vt:i4>0</vt:i4>
      </vt:variant>
      <vt:variant>
        <vt:i4>5</vt:i4>
      </vt:variant>
      <vt:variant>
        <vt:lpwstr>http://www.cancer.org/docroot/cri/content/cri_2_4_3x_how_is_gastrointestinal_carcinoid_tumors_diagnosed_14.asp</vt:lpwstr>
      </vt:variant>
      <vt:variant>
        <vt:lpwstr/>
      </vt:variant>
      <vt:variant>
        <vt:i4>3604520</vt:i4>
      </vt:variant>
      <vt:variant>
        <vt:i4>15</vt:i4>
      </vt:variant>
      <vt:variant>
        <vt:i4>0</vt:i4>
      </vt:variant>
      <vt:variant>
        <vt:i4>5</vt:i4>
      </vt:variant>
      <vt:variant>
        <vt:lpwstr>http://www.interscienceinstitute.com/docs/Neuroendocrine-Tumors-4th-Edition.pdf</vt:lpwstr>
      </vt:variant>
      <vt:variant>
        <vt:lpwstr/>
      </vt:variant>
      <vt:variant>
        <vt:i4>2883641</vt:i4>
      </vt:variant>
      <vt:variant>
        <vt:i4>12</vt:i4>
      </vt:variant>
      <vt:variant>
        <vt:i4>0</vt:i4>
      </vt:variant>
      <vt:variant>
        <vt:i4>5</vt:i4>
      </vt:variant>
      <vt:variant>
        <vt:lpwstr>https://navcan-production.s3.amazonaws.com/document/32/attachment/Neuroendocrine_Tumor_Brochure.pdf?Signature=pcNI7hfiZ9kwjTEMcetQ73MwEOM%3D&amp;Expires=1275508240&amp;AWSAccessKeyId=AKIAIZUDLM6ICC6RC2FA</vt:lpwstr>
      </vt:variant>
      <vt:variant>
        <vt:lpwstr/>
      </vt:variant>
      <vt:variant>
        <vt:i4>6357055</vt:i4>
      </vt:variant>
      <vt:variant>
        <vt:i4>9</vt:i4>
      </vt:variant>
      <vt:variant>
        <vt:i4>0</vt:i4>
      </vt:variant>
      <vt:variant>
        <vt:i4>5</vt:i4>
      </vt:variant>
      <vt:variant>
        <vt:lpwstr>http://www.nlm.nih.gov/medlineplus/ency/article/000393.htm</vt:lpwstr>
      </vt:variant>
      <vt:variant>
        <vt:lpwstr/>
      </vt:variant>
      <vt:variant>
        <vt:i4>393313</vt:i4>
      </vt:variant>
      <vt:variant>
        <vt:i4>6</vt:i4>
      </vt:variant>
      <vt:variant>
        <vt:i4>0</vt:i4>
      </vt:variant>
      <vt:variant>
        <vt:i4>5</vt:i4>
      </vt:variant>
      <vt:variant>
        <vt:lpwstr>http://www.cancer.org/docroot/CRI/content/CRI_2_4_1X_What_are_the_key_statistics_for_gastrointestinal_carcinoid_tumors_14.asp?rnav=cri</vt:lpwstr>
      </vt:variant>
      <vt:variant>
        <vt:lpwstr/>
      </vt:variant>
      <vt:variant>
        <vt:i4>4653123</vt:i4>
      </vt:variant>
      <vt:variant>
        <vt:i4>3</vt:i4>
      </vt:variant>
      <vt:variant>
        <vt:i4>0</vt:i4>
      </vt:variant>
      <vt:variant>
        <vt:i4>5</vt:i4>
      </vt:variant>
      <vt:variant>
        <vt:lpwstr>http://www.cancer.gov/dictionary</vt:lpwstr>
      </vt:variant>
      <vt:variant>
        <vt:lpwstr/>
      </vt:variant>
      <vt:variant>
        <vt:i4>5439560</vt:i4>
      </vt:variant>
      <vt:variant>
        <vt:i4>0</vt:i4>
      </vt:variant>
      <vt:variant>
        <vt:i4>0</vt:i4>
      </vt:variant>
      <vt:variant>
        <vt:i4>5</vt:i4>
      </vt:variant>
      <vt:variant>
        <vt:lpwstr>http://www.netcancerday.org/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TUBEROUS SCLEROSIS FACT SHEET</dc:title>
  <dc:subject/>
  <dc:creator>PASPARTU</dc:creator>
  <cp:keywords/>
  <dc:description>PASPARTU</dc:description>
  <cp:lastModifiedBy>evi</cp:lastModifiedBy>
  <cp:revision>2</cp:revision>
  <cp:lastPrinted>2010-11-16T12:39:00Z</cp:lastPrinted>
  <dcterms:created xsi:type="dcterms:W3CDTF">2011-11-10T15:58:00Z</dcterms:created>
  <dcterms:modified xsi:type="dcterms:W3CDTF">2011-11-10T15:58:00Z</dcterms:modified>
</cp:coreProperties>
</file>